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05_Exit_Readiness_Checklist</w:t>
      </w:r>
    </w:p>
    <w:p>
      <w:pPr>
        <w:pStyle w:val="Author"/>
      </w:pPr>
      <w:r>
        <w:t xml:space="preserve">HISN Platform</w:t>
      </w:r>
    </w:p>
    <w:p>
      <w:pPr>
        <w:pStyle w:val="Heading1"/>
      </w:pPr>
      <w:bookmarkStart w:id="9" w:name="_476b2a17397897e7020832c6380d2678d0dd16b"/>
      <w:r>
        <w:t xml:space="preserve">EXIT READINESS CHECKLIST</w:t>
      </w:r>
    </w:p>
    <w:p>
      <w:pPr>
        <w:pStyle w:val="FirstParagraph"/>
      </w:pPr>
      <w:r>
        <w:rPr>
          <w:b/>
          <w:bCs/>
        </w:rPr>
        <w:t xml:space="preserve">Date:</w:t>
      </w:r>
      <w:r>
        <w:t xml:space="preserve"> </w:t>
      </w:r>
      <w:r>
        <w:t xml:space="preserve">14 October 2026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0" w:name="_9c09719157f243983d8ee39e780e91cb5b318ba"/>
      <w:r>
        <w:t xml:space="preserve">1. Financial Readiness</w:t>
      </w:r>
    </w:p>
    <w:p>
      <w:pPr>
        <w:pStyle w:val="Compact"/>
        <w:numPr>
          <w:ilvl w:val="0"/>
          <w:numId w:val="1001"/>
        </w:numPr>
      </w:pPr>
      <w:r>
        <w:t xml:space="preserve">3+ years audited financials</w:t>
      </w:r>
    </w:p>
    <w:p>
      <w:pPr>
        <w:pStyle w:val="Compact"/>
        <w:numPr>
          <w:ilvl w:val="0"/>
          <w:numId w:val="1002"/>
        </w:numPr>
      </w:pPr>
      <w:r>
        <w:t xml:space="preserve">Big 4 audit firm engaged</w:t>
      </w:r>
    </w:p>
    <w:p>
      <w:pPr>
        <w:pStyle w:val="Compact"/>
        <w:numPr>
          <w:ilvl w:val="0"/>
          <w:numId w:val="1003"/>
        </w:numPr>
      </w:pPr>
      <w:r>
        <w:t xml:space="preserve">Clean financial statements</w:t>
      </w:r>
    </w:p>
    <w:p>
      <w:pPr>
        <w:pStyle w:val="Compact"/>
        <w:numPr>
          <w:ilvl w:val="0"/>
          <w:numId w:val="1004"/>
        </w:numPr>
      </w:pPr>
      <w:r>
        <w:t xml:space="preserve">ARR &gt; SAR 70M</w:t>
      </w:r>
    </w:p>
    <w:p>
      <w:pPr>
        <w:pStyle w:val="Compact"/>
        <w:numPr>
          <w:ilvl w:val="0"/>
          <w:numId w:val="1005"/>
        </w:numPr>
      </w:pPr>
      <w:r>
        <w:t xml:space="preserve">Positive EBITDA</w:t>
      </w:r>
    </w:p>
    <w:p>
      <w:pPr>
        <w:pStyle w:val="Compact"/>
        <w:numPr>
          <w:ilvl w:val="0"/>
          <w:numId w:val="1006"/>
        </w:numPr>
      </w:pPr>
      <w:r>
        <w:t xml:space="preserve">Clean cap table</w:t>
      </w:r>
    </w:p>
    <w:p>
      <w:pPr>
        <w:pStyle w:val="Compact"/>
        <w:numPr>
          <w:ilvl w:val="0"/>
          <w:numId w:val="1007"/>
        </w:numPr>
      </w:pPr>
      <w:r>
        <w:t xml:space="preserve">No undisclosed liabilities</w:t>
      </w:r>
    </w:p>
    <w:p>
      <w:pPr>
        <w:pStyle w:val="Compact"/>
        <w:numPr>
          <w:ilvl w:val="0"/>
          <w:numId w:val="1008"/>
        </w:numPr>
      </w:pPr>
      <w:r>
        <w:t xml:space="preserve">Tax compliance current</w:t>
      </w:r>
    </w:p>
    <w:p>
      <w:pPr>
        <w:pStyle w:val="Compact"/>
        <w:numPr>
          <w:ilvl w:val="0"/>
          <w:numId w:val="1009"/>
        </w:numPr>
      </w:pPr>
      <w:r>
        <w:t xml:space="preserve">Zakat/CIT filings up to date</w:t>
      </w:r>
    </w:p>
    <w:p>
      <w:pPr>
        <w:pStyle w:val="Heading2"/>
      </w:pPr>
      <w:bookmarkStart w:id="11" w:name="_d775fd992f3f5c8c5e7709bfd6fa8e1dabe1d93"/>
      <w:r>
        <w:t xml:space="preserve">2. Legal Readiness</w:t>
      </w:r>
    </w:p>
    <w:p>
      <w:pPr>
        <w:pStyle w:val="Compact"/>
        <w:numPr>
          <w:ilvl w:val="0"/>
          <w:numId w:val="1010"/>
        </w:numPr>
      </w:pPr>
      <w:r>
        <w:t xml:space="preserve">Clean corporate records</w:t>
      </w:r>
    </w:p>
    <w:p>
      <w:pPr>
        <w:pStyle w:val="Compact"/>
        <w:numPr>
          <w:ilvl w:val="0"/>
          <w:numId w:val="1011"/>
        </w:numPr>
      </w:pPr>
      <w:r>
        <w:t xml:space="preserve">All IP assigned to Company</w:t>
      </w:r>
    </w:p>
    <w:p>
      <w:pPr>
        <w:pStyle w:val="Compact"/>
        <w:numPr>
          <w:ilvl w:val="0"/>
          <w:numId w:val="1012"/>
        </w:numPr>
      </w:pPr>
      <w:r>
        <w:t xml:space="preserve">No pending litigation</w:t>
      </w:r>
    </w:p>
    <w:p>
      <w:pPr>
        <w:pStyle w:val="Compact"/>
        <w:numPr>
          <w:ilvl w:val="0"/>
          <w:numId w:val="1013"/>
        </w:numPr>
      </w:pPr>
      <w:r>
        <w:t xml:space="preserve">All contracts reviewed</w:t>
      </w:r>
    </w:p>
    <w:p>
      <w:pPr>
        <w:pStyle w:val="Compact"/>
        <w:numPr>
          <w:ilvl w:val="0"/>
          <w:numId w:val="1014"/>
        </w:numPr>
      </w:pPr>
      <w:r>
        <w:t xml:space="preserve">Regulatory compliance verified</w:t>
      </w:r>
    </w:p>
    <w:p>
      <w:pPr>
        <w:pStyle w:val="Compact"/>
        <w:numPr>
          <w:ilvl w:val="0"/>
          <w:numId w:val="1015"/>
        </w:numPr>
      </w:pPr>
      <w:r>
        <w:t xml:space="preserve">Employee agreements current</w:t>
      </w:r>
    </w:p>
    <w:p>
      <w:pPr>
        <w:pStyle w:val="Compact"/>
        <w:numPr>
          <w:ilvl w:val="0"/>
          <w:numId w:val="1016"/>
        </w:numPr>
      </w:pPr>
      <w:r>
        <w:t xml:space="preserve">Non-competes enforceable</w:t>
      </w:r>
    </w:p>
    <w:p>
      <w:pPr>
        <w:pStyle w:val="Compact"/>
        <w:numPr>
          <w:ilvl w:val="0"/>
          <w:numId w:val="1017"/>
        </w:numPr>
      </w:pPr>
      <w:r>
        <w:t xml:space="preserve">No outstanding disputes</w:t>
      </w:r>
    </w:p>
    <w:p>
      <w:pPr>
        <w:pStyle w:val="Heading2"/>
      </w:pPr>
      <w:bookmarkStart w:id="12" w:name="_5b4a5cf517d819de233b9fdaf7d11e542b357d7"/>
      <w:r>
        <w:t xml:space="preserve">3. Operational Readiness</w:t>
      </w:r>
    </w:p>
    <w:p>
      <w:pPr>
        <w:pStyle w:val="Compact"/>
        <w:numPr>
          <w:ilvl w:val="0"/>
          <w:numId w:val="1018"/>
        </w:numPr>
      </w:pPr>
      <w:r>
        <w:t xml:space="preserve">Documented processes</w:t>
      </w:r>
    </w:p>
    <w:p>
      <w:pPr>
        <w:pStyle w:val="Compact"/>
        <w:numPr>
          <w:ilvl w:val="0"/>
          <w:numId w:val="1019"/>
        </w:numPr>
      </w:pPr>
      <w:r>
        <w:t xml:space="preserve">Key-person succession plan</w:t>
      </w:r>
    </w:p>
    <w:p>
      <w:pPr>
        <w:pStyle w:val="Compact"/>
        <w:numPr>
          <w:ilvl w:val="0"/>
          <w:numId w:val="1020"/>
        </w:numPr>
      </w:pPr>
      <w:r>
        <w:t xml:space="preserve">Scalable operations</w:t>
      </w:r>
    </w:p>
    <w:p>
      <w:pPr>
        <w:pStyle w:val="Compact"/>
        <w:numPr>
          <w:ilvl w:val="0"/>
          <w:numId w:val="1021"/>
        </w:numPr>
      </w:pPr>
      <w:r>
        <w:t xml:space="preserve">Customer concentration &lt; 30%</w:t>
      </w:r>
    </w:p>
    <w:p>
      <w:pPr>
        <w:pStyle w:val="Compact"/>
        <w:numPr>
          <w:ilvl w:val="0"/>
          <w:numId w:val="1022"/>
        </w:numPr>
      </w:pPr>
      <w:r>
        <w:t xml:space="preserve">Documented SLAs</w:t>
      </w:r>
    </w:p>
    <w:p>
      <w:pPr>
        <w:pStyle w:val="Compact"/>
        <w:numPr>
          <w:ilvl w:val="0"/>
          <w:numId w:val="1023"/>
        </w:numPr>
      </w:pPr>
      <w:r>
        <w:t xml:space="preserve">Support infrastructure</w:t>
      </w:r>
    </w:p>
    <w:p>
      <w:pPr>
        <w:pStyle w:val="Compact"/>
        <w:numPr>
          <w:ilvl w:val="0"/>
          <w:numId w:val="1024"/>
        </w:numPr>
      </w:pPr>
      <w:r>
        <w:t xml:space="preserve">Quality metrics tracked</w:t>
      </w:r>
    </w:p>
    <w:p>
      <w:pPr>
        <w:pStyle w:val="Compact"/>
        <w:numPr>
          <w:ilvl w:val="0"/>
          <w:numId w:val="1025"/>
        </w:numPr>
      </w:pPr>
      <w:r>
        <w:t xml:space="preserve">KPIs dashboard</w:t>
      </w:r>
    </w:p>
    <w:p>
      <w:pPr>
        <w:pStyle w:val="Heading2"/>
      </w:pPr>
      <w:bookmarkStart w:id="13" w:name="_0581157087038170354769bd8b63cdec8a6b17c"/>
      <w:r>
        <w:t xml:space="preserve">4. Technical Readiness</w:t>
      </w:r>
    </w:p>
    <w:p>
      <w:pPr>
        <w:pStyle w:val="Compact"/>
        <w:numPr>
          <w:ilvl w:val="0"/>
          <w:numId w:val="1026"/>
        </w:numPr>
      </w:pPr>
      <w:r>
        <w:t xml:space="preserve">Architecture documentation</w:t>
      </w:r>
    </w:p>
    <w:p>
      <w:pPr>
        <w:pStyle w:val="Compact"/>
        <w:numPr>
          <w:ilvl w:val="0"/>
          <w:numId w:val="1027"/>
        </w:numPr>
      </w:pPr>
      <w:r>
        <w:t xml:space="preserve">Security certifications</w:t>
      </w:r>
    </w:p>
    <w:p>
      <w:pPr>
        <w:pStyle w:val="Compact"/>
        <w:numPr>
          <w:ilvl w:val="0"/>
          <w:numId w:val="1028"/>
        </w:numPr>
      </w:pPr>
      <w:r>
        <w:t xml:space="preserve">Independent PenTest closed</w:t>
      </w:r>
    </w:p>
    <w:p>
      <w:pPr>
        <w:pStyle w:val="Compact"/>
        <w:numPr>
          <w:ilvl w:val="0"/>
          <w:numId w:val="1029"/>
        </w:numPr>
      </w:pPr>
      <w:r>
        <w:t xml:space="preserve">SBOM</w:t>
      </w:r>
    </w:p>
    <w:p>
      <w:pPr>
        <w:pStyle w:val="Compact"/>
        <w:numPr>
          <w:ilvl w:val="0"/>
          <w:numId w:val="1030"/>
        </w:numPr>
      </w:pPr>
      <w:r>
        <w:t xml:space="preserve">Vulnerability management</w:t>
      </w:r>
    </w:p>
    <w:p>
      <w:pPr>
        <w:pStyle w:val="Compact"/>
        <w:numPr>
          <w:ilvl w:val="0"/>
          <w:numId w:val="1031"/>
        </w:numPr>
      </w:pPr>
      <w:r>
        <w:t xml:space="preserve">Incident response tested</w:t>
      </w:r>
    </w:p>
    <w:p>
      <w:pPr>
        <w:pStyle w:val="Compact"/>
        <w:numPr>
          <w:ilvl w:val="0"/>
          <w:numId w:val="1032"/>
        </w:numPr>
      </w:pPr>
      <w:r>
        <w:t xml:space="preserve">DR tested</w:t>
      </w:r>
    </w:p>
    <w:p>
      <w:pPr>
        <w:pStyle w:val="Compact"/>
        <w:numPr>
          <w:ilvl w:val="0"/>
          <w:numId w:val="1033"/>
        </w:numPr>
      </w:pPr>
      <w:r>
        <w:t xml:space="preserve">Backup verified</w:t>
      </w:r>
    </w:p>
    <w:p>
      <w:pPr>
        <w:pStyle w:val="Compact"/>
        <w:numPr>
          <w:ilvl w:val="0"/>
          <w:numId w:val="1034"/>
        </w:numPr>
      </w:pPr>
      <w:r>
        <w:t xml:space="preserve">No critical vulnerabilities</w:t>
      </w:r>
    </w:p>
    <w:p>
      <w:pPr>
        <w:pStyle w:val="Heading2"/>
      </w:pPr>
      <w:bookmarkStart w:id="14" w:name="_2468662f4fdeb3941d1aa474bcbf10cc50f8972"/>
      <w:r>
        <w:t xml:space="preserve">5. Market Readiness</w:t>
      </w:r>
    </w:p>
    <w:p>
      <w:pPr>
        <w:pStyle w:val="Compact"/>
        <w:numPr>
          <w:ilvl w:val="0"/>
          <w:numId w:val="1035"/>
        </w:numPr>
      </w:pPr>
      <w:r>
        <w:t xml:space="preserve">Strong market position</w:t>
      </w:r>
    </w:p>
    <w:p>
      <w:pPr>
        <w:pStyle w:val="Compact"/>
        <w:numPr>
          <w:ilvl w:val="0"/>
          <w:numId w:val="1036"/>
        </w:numPr>
      </w:pPr>
      <w:r>
        <w:t xml:space="preserve">Multiple reference customers</w:t>
      </w:r>
    </w:p>
    <w:p>
      <w:pPr>
        <w:pStyle w:val="Compact"/>
        <w:numPr>
          <w:ilvl w:val="0"/>
          <w:numId w:val="1037"/>
        </w:numPr>
      </w:pPr>
      <w:r>
        <w:t xml:space="preserve">Growing pipeline</w:t>
      </w:r>
    </w:p>
    <w:p>
      <w:pPr>
        <w:pStyle w:val="Compact"/>
        <w:numPr>
          <w:ilvl w:val="0"/>
          <w:numId w:val="1038"/>
        </w:numPr>
      </w:pPr>
      <w:r>
        <w:t xml:space="preserve">Competitive differentiation clear</w:t>
      </w:r>
    </w:p>
    <w:p>
      <w:pPr>
        <w:pStyle w:val="Compact"/>
        <w:numPr>
          <w:ilvl w:val="0"/>
          <w:numId w:val="1039"/>
        </w:numPr>
      </w:pPr>
      <w:r>
        <w:t xml:space="preserve">Customer NPS &gt; 50</w:t>
      </w:r>
    </w:p>
    <w:p>
      <w:pPr>
        <w:pStyle w:val="Compact"/>
        <w:numPr>
          <w:ilvl w:val="0"/>
          <w:numId w:val="1040"/>
        </w:numPr>
      </w:pPr>
      <w:r>
        <w:t xml:space="preserve">Retention &gt; 95%</w:t>
      </w:r>
    </w:p>
    <w:p>
      <w:pPr>
        <w:pStyle w:val="Compact"/>
        <w:numPr>
          <w:ilvl w:val="0"/>
          <w:numId w:val="1041"/>
        </w:numPr>
      </w:pPr>
      <w:r>
        <w:t xml:space="preserve">Expansion &gt; 30%</w:t>
      </w:r>
    </w:p>
    <w:p>
      <w:pPr>
        <w:pStyle w:val="Compact"/>
        <w:numPr>
          <w:ilvl w:val="0"/>
          <w:numId w:val="1042"/>
        </w:numPr>
      </w:pPr>
      <w:r>
        <w:t xml:space="preserve">Analyst coverage (if applicable)</w:t>
      </w:r>
    </w:p>
    <w:p>
      <w:pPr>
        <w:pStyle w:val="Heading2"/>
      </w:pPr>
      <w:bookmarkStart w:id="15" w:name="_264ef9751d341b9ca3cab93b7d17fb9421518ef"/>
      <w:r>
        <w:t xml:space="preserve">6. Team Readiness</w:t>
      </w:r>
    </w:p>
    <w:p>
      <w:pPr>
        <w:pStyle w:val="Compact"/>
        <w:numPr>
          <w:ilvl w:val="0"/>
          <w:numId w:val="1043"/>
        </w:numPr>
      </w:pPr>
      <w:r>
        <w:t xml:space="preserve">Complete leadership team</w:t>
      </w:r>
    </w:p>
    <w:p>
      <w:pPr>
        <w:pStyle w:val="Compact"/>
        <w:numPr>
          <w:ilvl w:val="0"/>
          <w:numId w:val="1044"/>
        </w:numPr>
      </w:pPr>
      <w:r>
        <w:t xml:space="preserve">VP-level in all functions</w:t>
      </w:r>
    </w:p>
    <w:p>
      <w:pPr>
        <w:pStyle w:val="Compact"/>
        <w:numPr>
          <w:ilvl w:val="0"/>
          <w:numId w:val="1045"/>
        </w:numPr>
      </w:pPr>
      <w:r>
        <w:t xml:space="preserve">Employee retention &gt; 90%</w:t>
      </w:r>
    </w:p>
    <w:p>
      <w:pPr>
        <w:pStyle w:val="Compact"/>
        <w:numPr>
          <w:ilvl w:val="0"/>
          <w:numId w:val="1046"/>
        </w:numPr>
      </w:pPr>
      <w:r>
        <w:t xml:space="preserve">Documented org chart</w:t>
      </w:r>
    </w:p>
    <w:p>
      <w:pPr>
        <w:pStyle w:val="Compact"/>
        <w:numPr>
          <w:ilvl w:val="0"/>
          <w:numId w:val="1047"/>
        </w:numPr>
      </w:pPr>
      <w:r>
        <w:t xml:space="preserve">RACI framework</w:t>
      </w:r>
    </w:p>
    <w:p>
      <w:pPr>
        <w:pStyle w:val="Compact"/>
        <w:numPr>
          <w:ilvl w:val="0"/>
          <w:numId w:val="1048"/>
        </w:numPr>
      </w:pPr>
      <w:r>
        <w:t xml:space="preserve">Board independence</w:t>
      </w:r>
    </w:p>
    <w:p>
      <w:pPr>
        <w:pStyle w:val="Compact"/>
        <w:numPr>
          <w:ilvl w:val="0"/>
          <w:numId w:val="1049"/>
        </w:numPr>
      </w:pPr>
      <w:r>
        <w:t xml:space="preserve">Advisory board</w:t>
      </w:r>
    </w:p>
    <w:p>
      <w:pPr>
        <w:pStyle w:val="Heading2"/>
      </w:pPr>
      <w:bookmarkStart w:id="16" w:name="_f77bfcb37a57c0372c1f5671f400f719cb27123"/>
      <w:r>
        <w:t xml:space="preserve">7. Governance Readiness</w:t>
      </w:r>
    </w:p>
    <w:p>
      <w:pPr>
        <w:pStyle w:val="Compact"/>
        <w:numPr>
          <w:ilvl w:val="0"/>
          <w:numId w:val="1050"/>
        </w:numPr>
      </w:pPr>
      <w:r>
        <w:t xml:space="preserve">Board Charter</w:t>
      </w:r>
    </w:p>
    <w:p>
      <w:pPr>
        <w:pStyle w:val="Compact"/>
        <w:numPr>
          <w:ilvl w:val="0"/>
          <w:numId w:val="1051"/>
        </w:numPr>
      </w:pPr>
      <w:r>
        <w:t xml:space="preserve">Committee charters</w:t>
      </w:r>
    </w:p>
    <w:p>
      <w:pPr>
        <w:pStyle w:val="Compact"/>
        <w:numPr>
          <w:ilvl w:val="0"/>
          <w:numId w:val="1052"/>
        </w:numPr>
      </w:pPr>
      <w:r>
        <w:t xml:space="preserve">Reserved matters defined</w:t>
      </w:r>
    </w:p>
    <w:p>
      <w:pPr>
        <w:pStyle w:val="Compact"/>
        <w:numPr>
          <w:ilvl w:val="0"/>
          <w:numId w:val="1053"/>
        </w:numPr>
      </w:pPr>
      <w:r>
        <w:t xml:space="preserve">Investor rights documented</w:t>
      </w:r>
    </w:p>
    <w:p>
      <w:pPr>
        <w:pStyle w:val="Compact"/>
        <w:numPr>
          <w:ilvl w:val="0"/>
          <w:numId w:val="1054"/>
        </w:numPr>
      </w:pPr>
      <w:r>
        <w:t xml:space="preserve">Disclosure controls</w:t>
      </w:r>
    </w:p>
    <w:p>
      <w:pPr>
        <w:pStyle w:val="Compact"/>
        <w:numPr>
          <w:ilvl w:val="0"/>
          <w:numId w:val="1055"/>
        </w:numPr>
      </w:pPr>
      <w:r>
        <w:t xml:space="preserve">Insider trading policy</w:t>
      </w:r>
    </w:p>
    <w:p>
      <w:pPr>
        <w:pStyle w:val="Compact"/>
        <w:numPr>
          <w:ilvl w:val="0"/>
          <w:numId w:val="1056"/>
        </w:numPr>
      </w:pPr>
      <w:r>
        <w:t xml:space="preserve">Ethics code</w:t>
      </w:r>
    </w:p>
    <w:p>
      <w:pPr>
        <w:pStyle w:val="Compact"/>
        <w:numPr>
          <w:ilvl w:val="0"/>
          <w:numId w:val="1057"/>
        </w:numPr>
      </w:pPr>
      <w:r>
        <w:t xml:space="preserve">Compliance program</w:t>
      </w:r>
    </w:p>
    <w:p>
      <w:pPr>
        <w:pStyle w:val="Heading2"/>
      </w:pPr>
      <w:bookmarkStart w:id="17" w:name="_51c36ef0ce680e41d3664a1d2145ee4f9d200ea"/>
      <w:r>
        <w:t xml:space="preserve">8. Investor Relations</w:t>
      </w:r>
    </w:p>
    <w:p>
      <w:pPr>
        <w:pStyle w:val="Compact"/>
        <w:numPr>
          <w:ilvl w:val="0"/>
          <w:numId w:val="1058"/>
        </w:numPr>
      </w:pPr>
      <w:r>
        <w:t xml:space="preserve">Monthly reporting</w:t>
      </w:r>
    </w:p>
    <w:p>
      <w:pPr>
        <w:pStyle w:val="Compact"/>
        <w:numPr>
          <w:ilvl w:val="0"/>
          <w:numId w:val="1059"/>
        </w:numPr>
      </w:pPr>
      <w:r>
        <w:t xml:space="preserve">Quarterly board packs</w:t>
      </w:r>
    </w:p>
    <w:p>
      <w:pPr>
        <w:pStyle w:val="Compact"/>
        <w:numPr>
          <w:ilvl w:val="0"/>
          <w:numId w:val="1060"/>
        </w:numPr>
      </w:pPr>
      <w:r>
        <w:t xml:space="preserve">Annual audits</w:t>
      </w:r>
    </w:p>
    <w:p>
      <w:pPr>
        <w:pStyle w:val="Compact"/>
        <w:numPr>
          <w:ilvl w:val="0"/>
          <w:numId w:val="1061"/>
        </w:numPr>
      </w:pPr>
      <w:r>
        <w:t xml:space="preserve">Investor update cadence</w:t>
      </w:r>
    </w:p>
    <w:p>
      <w:pPr>
        <w:pStyle w:val="Compact"/>
        <w:numPr>
          <w:ilvl w:val="0"/>
          <w:numId w:val="1062"/>
        </w:numPr>
      </w:pPr>
      <w:r>
        <w:t xml:space="preserve">Cap table maintained</w:t>
      </w:r>
    </w:p>
    <w:p>
      <w:pPr>
        <w:pStyle w:val="Compact"/>
        <w:numPr>
          <w:ilvl w:val="0"/>
          <w:numId w:val="1063"/>
        </w:numPr>
      </w:pPr>
      <w:r>
        <w:t xml:space="preserve">SAFEs/notes documented</w:t>
      </w:r>
    </w:p>
    <w:p>
      <w:pPr>
        <w:pStyle w:val="Compact"/>
        <w:numPr>
          <w:ilvl w:val="0"/>
          <w:numId w:val="1064"/>
        </w:numPr>
      </w:pPr>
      <w:r>
        <w:t xml:space="preserve">Pro-rata tracking</w:t>
      </w:r>
    </w:p>
    <w:p>
      <w:pPr>
        <w:pStyle w:val="Compact"/>
        <w:numPr>
          <w:ilvl w:val="0"/>
          <w:numId w:val="1065"/>
        </w:numPr>
      </w:pPr>
      <w:r>
        <w:t xml:space="preserve">Information rights administered</w:t>
      </w:r>
    </w:p>
    <w:p>
      <w:pPr>
        <w:pStyle w:val="Heading2"/>
      </w:pPr>
      <w:bookmarkStart w:id="18" w:name="_cb379c4707d15013177346bad3fab6f7133b5fe"/>
      <w:r>
        <w:t xml:space="preserve">9. Exit Process Readiness</w:t>
      </w:r>
    </w:p>
    <w:p>
      <w:pPr>
        <w:pStyle w:val="Compact"/>
        <w:numPr>
          <w:ilvl w:val="0"/>
          <w:numId w:val="1066"/>
        </w:numPr>
      </w:pPr>
      <w:r>
        <w:t xml:space="preserve">Investment bank selected (Y6)</w:t>
      </w:r>
    </w:p>
    <w:p>
      <w:pPr>
        <w:pStyle w:val="Compact"/>
        <w:numPr>
          <w:ilvl w:val="0"/>
          <w:numId w:val="1067"/>
        </w:numPr>
      </w:pPr>
      <w:r>
        <w:t xml:space="preserve">Legal counsel (M&amp;A) engaged</w:t>
      </w:r>
    </w:p>
    <w:p>
      <w:pPr>
        <w:pStyle w:val="Compact"/>
        <w:numPr>
          <w:ilvl w:val="0"/>
          <w:numId w:val="1068"/>
        </w:numPr>
      </w:pPr>
      <w:r>
        <w:t xml:space="preserve">Data room prepared</w:t>
      </w:r>
    </w:p>
    <w:p>
      <w:pPr>
        <w:pStyle w:val="Compact"/>
        <w:numPr>
          <w:ilvl w:val="0"/>
          <w:numId w:val="1069"/>
        </w:numPr>
      </w:pPr>
      <w:r>
        <w:t xml:space="preserve">Management presentations ready</w:t>
      </w:r>
    </w:p>
    <w:p>
      <w:pPr>
        <w:pStyle w:val="Compact"/>
        <w:numPr>
          <w:ilvl w:val="0"/>
          <w:numId w:val="1070"/>
        </w:numPr>
      </w:pPr>
      <w:r>
        <w:t xml:space="preserve">Financial model updated</w:t>
      </w:r>
    </w:p>
    <w:p>
      <w:pPr>
        <w:pStyle w:val="Compact"/>
        <w:numPr>
          <w:ilvl w:val="0"/>
          <w:numId w:val="1071"/>
        </w:numPr>
      </w:pPr>
      <w:r>
        <w:t xml:space="preserve">Strategic buyer list</w:t>
      </w:r>
    </w:p>
    <w:p>
      <w:pPr>
        <w:pStyle w:val="Compact"/>
        <w:numPr>
          <w:ilvl w:val="0"/>
          <w:numId w:val="1072"/>
        </w:numPr>
      </w:pPr>
      <w:r>
        <w:t xml:space="preserve">Valuation analysis</w:t>
      </w:r>
    </w:p>
    <w:p>
      <w:pPr>
        <w:pStyle w:val="Compact"/>
        <w:numPr>
          <w:ilvl w:val="0"/>
          <w:numId w:val="1073"/>
        </w:numPr>
      </w:pPr>
      <w:r>
        <w:t xml:space="preserve">Negotiation strategy</w:t>
      </w:r>
    </w:p>
    <w:p>
      <w:pPr>
        <w:pStyle w:val="Heading2"/>
      </w:pPr>
      <w:bookmarkStart w:id="19" w:name="_timing"/>
      <w:r>
        <w:t xml:space="preserve">10. Timing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Timeline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Preparation</w:t>
            </w:r>
          </w:p>
        </w:tc>
        <w:tc>
          <w:tcPr/>
          <w:p>
            <w:pPr>
              <w:pStyle w:val="Compact"/>
            </w:pPr>
            <w:r>
              <w:t xml:space="preserve">Y5-Y6</w:t>
            </w:r>
          </w:p>
        </w:tc>
      </w:tr>
      <w:tr>
        <w:tc>
          <w:tcPr/>
          <w:p>
            <w:pPr>
              <w:pStyle w:val="Compact"/>
            </w:pPr>
            <w:r>
              <w:t xml:space="preserve">Advisor selection</w:t>
            </w:r>
          </w:p>
        </w:tc>
        <w:tc>
          <w:tcPr/>
          <w:p>
            <w:pPr>
              <w:pStyle w:val="Compact"/>
            </w:pPr>
            <w:r>
              <w:t xml:space="preserve">Y6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Pre-marketing</w:t>
            </w:r>
          </w:p>
        </w:tc>
        <w:tc>
          <w:tcPr/>
          <w:p>
            <w:pPr>
              <w:pStyle w:val="Compact"/>
            </w:pPr>
            <w:r>
              <w:t xml:space="preserve">Y6-Y7</w:t>
            </w:r>
          </w:p>
        </w:tc>
      </w:tr>
      <w:tr>
        <w:tc>
          <w:tcPr/>
          <w:p>
            <w:pPr>
              <w:pStyle w:val="Compact"/>
            </w:pPr>
            <w:r>
              <w:t xml:space="preserve">Formal process</w:t>
            </w:r>
          </w:p>
        </w:tc>
        <w:tc>
          <w:tcPr/>
          <w:p>
            <w:pPr>
              <w:pStyle w:val="Compact"/>
            </w:pPr>
            <w:r>
              <w:t xml:space="preserve">Y7</w:t>
            </w:r>
          </w:p>
        </w:tc>
      </w:tr>
      <w:tr>
        <w:tc>
          <w:tcPr/>
          <w:p>
            <w:pPr>
              <w:pStyle w:val="Compact"/>
            </w:pPr>
            <w:r>
              <w:t xml:space="preserve">Close</w:t>
            </w:r>
          </w:p>
        </w:tc>
        <w:tc>
          <w:tcPr/>
          <w:p>
            <w:pPr>
              <w:pStyle w:val="Compact"/>
            </w:pPr>
            <w:r>
              <w:t xml:space="preserve">Y7-Y8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Exit readiness is an ongoing discipline. Reviewed annually by Board.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Investor Relations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">
    <w:nsid w:val="0000A992"/>
    <w:multiLevelType w:val="multilevel"/>
    <w:lvl w:ilvl="0">
      <w:numFmt w:val="bullet"/>
      <w:lvlText w:val="☐"/>
      <w:lvlJc w:val="left"/>
      <w:pPr>
        <w:ind w:left="720" w:hanging="360"/>
      </w:pPr>
    </w:lvl>
    <w:lvl w:ilvl="1">
      <w:numFmt w:val="bullet"/>
      <w:lvlText w:val="☐"/>
      <w:lvlJc w:val="left"/>
      <w:pPr>
        <w:ind w:left="1440" w:hanging="360"/>
      </w:pPr>
    </w:lvl>
    <w:lvl w:ilvl="2">
      <w:numFmt w:val="bullet"/>
      <w:lvlText w:val="☐"/>
      <w:lvlJc w:val="left"/>
      <w:pPr>
        <w:ind w:left="2160" w:hanging="360"/>
      </w:pPr>
    </w:lvl>
    <w:lvl w:ilvl="3">
      <w:numFmt w:val="bullet"/>
      <w:lvlText w:val="☐"/>
      <w:lvlJc w:val="left"/>
      <w:pPr>
        <w:ind w:left="2880" w:hanging="360"/>
      </w:pPr>
    </w:lvl>
    <w:lvl w:ilvl="4">
      <w:numFmt w:val="bullet"/>
      <w:lvlText w:val="☐"/>
      <w:lvlJc w:val="left"/>
      <w:pPr>
        <w:ind w:left="3600" w:hanging="360"/>
      </w:pPr>
    </w:lvl>
    <w:lvl w:ilvl="5">
      <w:numFmt w:val="bullet"/>
      <w:lvlText w:val="☐"/>
      <w:lvlJc w:val="left"/>
      <w:pPr>
        <w:ind w:left="4320" w:hanging="360"/>
      </w:pPr>
    </w:lvl>
    <w:lvl w:ilvl="6">
      <w:numFmt w:val="bullet"/>
      <w:lvlText w:val="☐"/>
      <w:lvlJc w:val="left"/>
      <w:pPr>
        <w:ind w:left="5040" w:hanging="360"/>
      </w:pPr>
    </w:lvl>
    <w:lvl w:ilvl="7">
      <w:numFmt w:val="bullet"/>
      <w:lvlText w:val="☐"/>
      <w:lvlJc w:val="left"/>
      <w:pPr>
        <w:ind w:left="5760" w:hanging="360"/>
      </w:pPr>
    </w:lvl>
    <w:lvl w:ilvl="8">
      <w:numFmt w:val="bullet"/>
      <w:lvlText w:val="☐"/>
      <w:lvlJc w:val="left"/>
      <w:pPr>
        <w:ind w:left="6480" w:hanging="360"/>
      </w:pPr>
    </w:lvl>
  </w:abstractNum>
  <w:num w:numId="1000">
    <w:abstractNumId w:val="990"/>
  </w:num>
  <w:num w:numId="1001">
    <w:abstractNumId w:val="992"/>
  </w:num>
  <w:num w:numId="1002">
    <w:abstractNumId w:val="992"/>
  </w:num>
  <w:num w:numId="1003">
    <w:abstractNumId w:val="992"/>
  </w:num>
  <w:num w:numId="1004">
    <w:abstractNumId w:val="992"/>
  </w:num>
  <w:num w:numId="1005">
    <w:abstractNumId w:val="992"/>
  </w:num>
  <w:num w:numId="1006">
    <w:abstractNumId w:val="992"/>
  </w:num>
  <w:num w:numId="1007">
    <w:abstractNumId w:val="992"/>
  </w:num>
  <w:num w:numId="1008">
    <w:abstractNumId w:val="992"/>
  </w:num>
  <w:num w:numId="1009">
    <w:abstractNumId w:val="992"/>
  </w:num>
  <w:num w:numId="1010">
    <w:abstractNumId w:val="992"/>
  </w:num>
  <w:num w:numId="1011">
    <w:abstractNumId w:val="992"/>
  </w:num>
  <w:num w:numId="1012">
    <w:abstractNumId w:val="992"/>
  </w:num>
  <w:num w:numId="1013">
    <w:abstractNumId w:val="992"/>
  </w:num>
  <w:num w:numId="1014">
    <w:abstractNumId w:val="992"/>
  </w:num>
  <w:num w:numId="1015">
    <w:abstractNumId w:val="992"/>
  </w:num>
  <w:num w:numId="1016">
    <w:abstractNumId w:val="992"/>
  </w:num>
  <w:num w:numId="1017">
    <w:abstractNumId w:val="992"/>
  </w:num>
  <w:num w:numId="1018">
    <w:abstractNumId w:val="992"/>
  </w:num>
  <w:num w:numId="1019">
    <w:abstractNumId w:val="992"/>
  </w:num>
  <w:num w:numId="1020">
    <w:abstractNumId w:val="992"/>
  </w:num>
  <w:num w:numId="1021">
    <w:abstractNumId w:val="992"/>
  </w:num>
  <w:num w:numId="1022">
    <w:abstractNumId w:val="992"/>
  </w:num>
  <w:num w:numId="1023">
    <w:abstractNumId w:val="992"/>
  </w:num>
  <w:num w:numId="1024">
    <w:abstractNumId w:val="992"/>
  </w:num>
  <w:num w:numId="1025">
    <w:abstractNumId w:val="992"/>
  </w:num>
  <w:num w:numId="1026">
    <w:abstractNumId w:val="992"/>
  </w:num>
  <w:num w:numId="1027">
    <w:abstractNumId w:val="992"/>
  </w:num>
  <w:num w:numId="1028">
    <w:abstractNumId w:val="992"/>
  </w:num>
  <w:num w:numId="1029">
    <w:abstractNumId w:val="992"/>
  </w:num>
  <w:num w:numId="1030">
    <w:abstractNumId w:val="992"/>
  </w:num>
  <w:num w:numId="1031">
    <w:abstractNumId w:val="992"/>
  </w:num>
  <w:num w:numId="1032">
    <w:abstractNumId w:val="992"/>
  </w:num>
  <w:num w:numId="1033">
    <w:abstractNumId w:val="992"/>
  </w:num>
  <w:num w:numId="1034">
    <w:abstractNumId w:val="992"/>
  </w:num>
  <w:num w:numId="1035">
    <w:abstractNumId w:val="992"/>
  </w:num>
  <w:num w:numId="1036">
    <w:abstractNumId w:val="992"/>
  </w:num>
  <w:num w:numId="1037">
    <w:abstractNumId w:val="992"/>
  </w:num>
  <w:num w:numId="1038">
    <w:abstractNumId w:val="992"/>
  </w:num>
  <w:num w:numId="1039">
    <w:abstractNumId w:val="992"/>
  </w:num>
  <w:num w:numId="1040">
    <w:abstractNumId w:val="992"/>
  </w:num>
  <w:num w:numId="1041">
    <w:abstractNumId w:val="992"/>
  </w:num>
  <w:num w:numId="1042">
    <w:abstractNumId w:val="992"/>
  </w:num>
  <w:num w:numId="1043">
    <w:abstractNumId w:val="992"/>
  </w:num>
  <w:num w:numId="1044">
    <w:abstractNumId w:val="992"/>
  </w:num>
  <w:num w:numId="1045">
    <w:abstractNumId w:val="992"/>
  </w:num>
  <w:num w:numId="1046">
    <w:abstractNumId w:val="992"/>
  </w:num>
  <w:num w:numId="1047">
    <w:abstractNumId w:val="992"/>
  </w:num>
  <w:num w:numId="1048">
    <w:abstractNumId w:val="992"/>
  </w:num>
  <w:num w:numId="1049">
    <w:abstractNumId w:val="992"/>
  </w:num>
  <w:num w:numId="1050">
    <w:abstractNumId w:val="992"/>
  </w:num>
  <w:num w:numId="1051">
    <w:abstractNumId w:val="992"/>
  </w:num>
  <w:num w:numId="1052">
    <w:abstractNumId w:val="992"/>
  </w:num>
  <w:num w:numId="1053">
    <w:abstractNumId w:val="992"/>
  </w:num>
  <w:num w:numId="1054">
    <w:abstractNumId w:val="992"/>
  </w:num>
  <w:num w:numId="1055">
    <w:abstractNumId w:val="992"/>
  </w:num>
  <w:num w:numId="1056">
    <w:abstractNumId w:val="992"/>
  </w:num>
  <w:num w:numId="1057">
    <w:abstractNumId w:val="992"/>
  </w:num>
  <w:num w:numId="1058">
    <w:abstractNumId w:val="992"/>
  </w:num>
  <w:num w:numId="1059">
    <w:abstractNumId w:val="992"/>
  </w:num>
  <w:num w:numId="1060">
    <w:abstractNumId w:val="992"/>
  </w:num>
  <w:num w:numId="1061">
    <w:abstractNumId w:val="992"/>
  </w:num>
  <w:num w:numId="1062">
    <w:abstractNumId w:val="992"/>
  </w:num>
  <w:num w:numId="1063">
    <w:abstractNumId w:val="992"/>
  </w:num>
  <w:num w:numId="1064">
    <w:abstractNumId w:val="992"/>
  </w:num>
  <w:num w:numId="1065">
    <w:abstractNumId w:val="992"/>
  </w:num>
  <w:num w:numId="1066">
    <w:abstractNumId w:val="992"/>
  </w:num>
  <w:num w:numId="1067">
    <w:abstractNumId w:val="992"/>
  </w:num>
  <w:num w:numId="1068">
    <w:abstractNumId w:val="992"/>
  </w:num>
  <w:num w:numId="1069">
    <w:abstractNumId w:val="992"/>
  </w:num>
  <w:num w:numId="1070">
    <w:abstractNumId w:val="992"/>
  </w:num>
  <w:num w:numId="1071">
    <w:abstractNumId w:val="992"/>
  </w:num>
  <w:num w:numId="1072">
    <w:abstractNumId w:val="992"/>
  </w:num>
  <w:num w:numId="1073">
    <w:abstractNumId w:val="99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05 Exit Readiness Checklist</dc:title>
  <dc:creator>HISN Platform</dc:creator>
  <cp:keywords>HISN, FCDOS, financial crime, decision operating system</cp:keywords>
  <dcterms:created xsi:type="dcterms:W3CDTF">2026-10-14T09:35:05Z</dcterms:created>
  <dcterms:modified xsi:type="dcterms:W3CDTF">2026-10-14T09:35:05Z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