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06_Investment_Summary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a1a3eb3871b7d837c1dc24ddceb5b4da3c5be6"/>
      <w:r>
        <w:t xml:space="preserve">INVESTMENT SUMMARY — SEED ROUND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1c850aba8700b196994978a6c552d3cf690f9d"/>
      <w:r>
        <w:t xml:space="preserve">1. The Opportunity</w:t>
      </w:r>
    </w:p>
    <w:p>
      <w:pPr>
        <w:pStyle w:val="FirstParagraph"/>
      </w:pPr>
      <w:r>
        <w:t xml:space="preserve">HISN is building the</w:t>
      </w:r>
      <w:r>
        <w:t xml:space="preserve"> </w:t>
      </w:r>
      <w:r>
        <w:rPr>
          <w:b/>
          <w:bCs/>
        </w:rPr>
        <w:t xml:space="preserve">Financial Crime Decision Operating System (FCDOS)</w:t>
      </w:r>
      <w:r>
        <w:t xml:space="preserve"> </w:t>
      </w:r>
      <w:r>
        <w:t xml:space="preserve">for regulated financial institutions in KSA and GCC.</w:t>
      </w:r>
    </w:p>
    <w:p>
      <w:pPr>
        <w:pStyle w:val="BodyText"/>
      </w:pPr>
      <w:r>
        <w:rPr>
          <w:b/>
          <w:bCs/>
        </w:rPr>
        <w:t xml:space="preserve">Investment Thesis:</w:t>
      </w:r>
      <w:r>
        <w:t xml:space="preserve"> </w:t>
      </w:r>
      <w:r>
        <w:t xml:space="preserve">- Large addressable market (SAR 1.2-1.8B SAM)</w:t>
      </w:r>
      <w:r>
        <w:t xml:space="preserve"> </w:t>
      </w:r>
      <w:r>
        <w:t xml:space="preserve">- Regulatory tailwinds (Vision 2030, PDPL, SAMA)</w:t>
      </w:r>
      <w:r>
        <w:t xml:space="preserve"> </w:t>
      </w:r>
      <w:r>
        <w:t xml:space="preserve">- Technical moat (canonical decision runtime)</w:t>
      </w:r>
      <w:r>
        <w:t xml:space="preserve"> </w:t>
      </w:r>
      <w:r>
        <w:t xml:space="preserve">- Multi-domain validation (banking, insurance, exchange)</w:t>
      </w:r>
      <w:r>
        <w:t xml:space="preserve"> </w:t>
      </w:r>
      <w:r>
        <w:t xml:space="preserve">- Conservative entry valuation (SAR 30M)</w:t>
      </w:r>
    </w:p>
    <w:p>
      <w:pPr>
        <w:pStyle w:val="Heading2"/>
      </w:pPr>
      <w:bookmarkStart w:id="11" w:name="_5d54f14a3d0f8d99034ed42aabf85ebfc96875f"/>
      <w:r>
        <w:t xml:space="preserve">2. The 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 of proceeds</w:t>
            </w:r>
          </w:p>
        </w:tc>
        <w:tc>
          <w:tcPr/>
          <w:p>
            <w:pPr>
              <w:pStyle w:val="Compact"/>
            </w:pPr>
            <w:r>
              <w:t xml:space="preserve">Team 40%, Security 20%, Product 15%, GTM 15%, WC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15-18 months</w:t>
            </w:r>
          </w:p>
        </w:tc>
      </w:tr>
    </w:tbl>
    <w:p>
      <w:pPr>
        <w:pStyle w:val="Heading2"/>
      </w:pPr>
      <w:bookmarkStart w:id="12" w:name="_3b8c242903304135c47fd2b218fa417ed75df07"/>
      <w:r>
        <w:t xml:space="preserve">3.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7,500,000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Heading2"/>
      </w:pPr>
      <w:bookmarkStart w:id="13" w:name="_5daaba70e86ec46dfcf8f17799c9a7c0f05b152"/>
      <w:r>
        <w:t xml:space="preserve">4. Milestones Funded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M2 Resilience complete</w:t>
            </w:r>
          </w:p>
        </w:tc>
        <w:tc>
          <w:tcPr/>
          <w:p>
            <w:pPr>
              <w:pStyle w:val="Compac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Technical POC</w:t>
            </w:r>
          </w:p>
        </w:tc>
        <w:tc>
          <w:tcPr/>
          <w:p>
            <w:pPr>
              <w:pStyle w:val="Compact"/>
            </w:pPr>
            <w:r>
              <w:t xml:space="preserve">9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paid pilot</w:t>
            </w:r>
          </w:p>
        </w:tc>
        <w:tc>
          <w:tcPr/>
          <w:p>
            <w:pPr>
              <w:pStyle w:val="Compact"/>
            </w:pPr>
            <w:r>
              <w:t xml:space="preserve">12-15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ready</w:t>
            </w:r>
          </w:p>
        </w:tc>
        <w:tc>
          <w:tcPr/>
          <w:p>
            <w:pPr>
              <w:pStyle w:val="Compact"/>
            </w:pPr>
            <w:r>
              <w:t xml:space="preserve">18 months</w:t>
            </w:r>
          </w:p>
        </w:tc>
      </w:tr>
    </w:tbl>
    <w:p>
      <w:pPr>
        <w:pStyle w:val="Heading2"/>
      </w:pPr>
      <w:bookmarkStart w:id="14" w:name="_e59337fdb477044ad50526491d7b007bc59d86a"/>
      <w:r>
        <w:t xml:space="preserve">5. Key Terms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Series Seed Preferred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non-participating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10% pre-money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Vesting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Pro-Rata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</w:t>
            </w:r>
          </w:p>
        </w:tc>
        <w:tc>
          <w:tcPr/>
          <w:p>
            <w:pPr>
              <w:pStyle w:val="Compact"/>
            </w:pPr>
            <w:r>
              <w:t xml:space="preserve">Monthly/Quarterly</w:t>
            </w:r>
          </w:p>
        </w:tc>
      </w:tr>
    </w:tbl>
    <w:p>
      <w:pPr>
        <w:pStyle w:val="Heading2"/>
      </w:pPr>
      <w:bookmarkStart w:id="15" w:name="_1e75daa0b6160262f930da89707acb76fcea6d7"/>
      <w:r>
        <w:t xml:space="preserve">6. Investment Highlights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Built asset</w:t>
      </w:r>
      <w:r>
        <w:t xml:space="preserve"> </w:t>
      </w:r>
      <w:r>
        <w:t xml:space="preserve">— not idea-stage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Technical moat</w:t>
      </w:r>
      <w:r>
        <w:t xml:space="preserve"> </w:t>
      </w:r>
      <w:r>
        <w:t xml:space="preserve">— canonical runtime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Regulatory fit</w:t>
      </w:r>
      <w:r>
        <w:t xml:space="preserve"> </w:t>
      </w:r>
      <w:r>
        <w:t xml:space="preserve">— SAMA, CMA, PDPL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Multi-domain</w:t>
      </w:r>
      <w:r>
        <w:t xml:space="preserve"> </w:t>
      </w:r>
      <w:r>
        <w:t xml:space="preserve">— banking, insurance, exchange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Conservative valuation</w:t>
      </w:r>
      <w:r>
        <w:t xml:space="preserve"> </w:t>
      </w:r>
      <w:r>
        <w:t xml:space="preserve">— 17% of DCF base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Clean governance</w:t>
      </w:r>
      <w:r>
        <w:t xml:space="preserve"> </w:t>
      </w:r>
      <w:r>
        <w:t xml:space="preserve">— no dead equity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milestones</w:t>
      </w:r>
      <w:r>
        <w:t xml:space="preserve"> </w:t>
      </w:r>
      <w:r>
        <w:t xml:space="preserve">— evidence-based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Experienced founder</w:t>
      </w:r>
      <w:r>
        <w:t xml:space="preserve"> </w:t>
      </w:r>
      <w:r>
        <w:t xml:space="preserve">— 20 years, 12 in KSA</w:t>
      </w:r>
    </w:p>
    <w:p>
      <w:pPr>
        <w:pStyle w:val="Heading2"/>
      </w:pPr>
      <w:bookmarkStart w:id="16" w:name="_f40429cd64d8fb48c0163992622a4a22d0ef227"/>
      <w:r>
        <w:t xml:space="preserve">7. Risk Disclosure</w:t>
      </w:r>
    </w:p>
    <w:p>
      <w:pPr>
        <w:pStyle w:val="FirstParagraph"/>
      </w:pPr>
      <w:r>
        <w:rPr>
          <w:b/>
          <w:bCs/>
        </w:rPr>
        <w:t xml:space="preserve">Key Risks:</w:t>
      </w:r>
      <w:r>
        <w:t xml:space="preserve"> </w:t>
      </w:r>
      <w:r>
        <w:t xml:space="preserve">- Pre-revenue</w:t>
      </w:r>
      <w:r>
        <w:t xml:space="preserve"> </w:t>
      </w:r>
      <w:r>
        <w:t xml:space="preserve">- No customers yet</w:t>
      </w:r>
      <w:r>
        <w:t xml:space="preserve"> </w:t>
      </w:r>
      <w:r>
        <w:t xml:space="preserve">- Long enterprise sales cycles</w:t>
      </w:r>
      <w:r>
        <w:t xml:space="preserve"> </w:t>
      </w:r>
      <w:r>
        <w:t xml:space="preserve">- Competitive pressure</w:t>
      </w:r>
      <w:r>
        <w:t xml:space="preserve"> </w:t>
      </w:r>
      <w:r>
        <w:t xml:space="preserve">- Regulatory dependency</w:t>
      </w:r>
      <w:r>
        <w:t xml:space="preserve"> </w:t>
      </w:r>
      <w:r>
        <w:t xml:space="preserve">- Key-person concentration</w:t>
      </w:r>
    </w:p>
    <w:p>
      <w:pPr>
        <w:pStyle w:val="BodyText"/>
      </w:pPr>
      <w:r>
        <w:rPr>
          <w:b/>
          <w:bCs/>
        </w:rPr>
        <w:t xml:space="preserve">Mitigations:</w:t>
      </w:r>
      <w:r>
        <w:t xml:space="preserve"> </w:t>
      </w:r>
      <w:r>
        <w:t xml:space="preserve">- Milestone-linked use of proceeds</w:t>
      </w:r>
      <w:r>
        <w:t xml:space="preserve"> </w:t>
      </w:r>
      <w:r>
        <w:t xml:space="preserve">- Focus on FinTech/PSP first</w:t>
      </w:r>
      <w:r>
        <w:t xml:space="preserve"> </w:t>
      </w:r>
      <w:r>
        <w:t xml:space="preserve">- Security pack build</w:t>
      </w:r>
      <w:r>
        <w:t xml:space="preserve"> </w:t>
      </w:r>
      <w:r>
        <w:t xml:space="preserve">- Hiring plan post-raise</w:t>
      </w:r>
      <w:r>
        <w:t xml:space="preserve"> </w:t>
      </w:r>
      <w:r>
        <w:t xml:space="preserve">- Founder vesting + IP assignment</w:t>
      </w:r>
      <w:r>
        <w:t xml:space="preserve"> </w:t>
      </w:r>
      <w:r>
        <w:t xml:space="preserve">- Governance framework</w:t>
      </w:r>
    </w:p>
    <w:p>
      <w:pPr>
        <w:pStyle w:val="Heading2"/>
      </w:pPr>
      <w:bookmarkStart w:id="17" w:name="_e28067a0cfa692c66f265032bdb39beb33ff126"/>
      <w:r>
        <w:t xml:space="preserve">8. Investor Return 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Company Value</w:t>
            </w:r>
          </w:p>
        </w:tc>
        <w:tc>
          <w:tcPr/>
          <w:p>
            <w:pPr>
              <w:pStyle w:val="Compact"/>
            </w:pPr>
            <w:r>
              <w:t xml:space="preserve">Investor Return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 Trade Sale</w:t>
            </w:r>
          </w:p>
        </w:tc>
        <w:tc>
          <w:tcPr/>
          <w:p>
            <w:pPr>
              <w:pStyle w:val="Compact"/>
            </w:pPr>
            <w:r>
              <w:t xml:space="preserve">SAR 385M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Trade Sale</w:t>
            </w:r>
          </w:p>
        </w:tc>
        <w:tc>
          <w:tcPr/>
          <w:p>
            <w:pPr>
              <w:pStyle w:val="Compact"/>
            </w:pPr>
            <w:r>
              <w:t xml:space="preserve">SAR 616M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 Trade Sale</w:t>
            </w:r>
          </w:p>
        </w:tc>
        <w:tc>
          <w:tcPr/>
          <w:p>
            <w:pPr>
              <w:pStyle w:val="Compact"/>
            </w:pPr>
            <w:r>
              <w:t xml:space="preserve">SAR 800M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SAR 1.5B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18" w:name="_timeline"/>
      <w:r>
        <w:t xml:space="preserve">9.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Month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Term sheet signed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Closing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M2 Resilience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Bank POC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Paid 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Series A ready</w:t>
            </w:r>
          </w:p>
        </w:tc>
      </w:tr>
    </w:tbl>
    <w:p>
      <w:pPr>
        <w:pStyle w:val="Heading2"/>
      </w:pPr>
      <w:bookmarkStart w:id="19" w:name="_contact"/>
      <w:r>
        <w:t xml:space="preserve">10. Contact</w:t>
      </w:r>
    </w:p>
    <w:p>
      <w:pPr>
        <w:pStyle w:val="FirstParagraph"/>
      </w:pP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  <w:r>
        <w:t xml:space="preserve"> </w:t>
      </w:r>
      <w:r>
        <w:rPr>
          <w:b/>
          <w:bCs/>
        </w:rPr>
        <w:t xml:space="preserve">Company:</w:t>
      </w:r>
      <w:r>
        <w:t xml:space="preserve"> </w:t>
      </w:r>
      <w:r>
        <w:t xml:space="preserve">HISN Platform</w:t>
      </w:r>
      <w:r>
        <w:t xml:space="preserve"> </w:t>
      </w:r>
      <w:r>
        <w:rPr>
          <w:b/>
          <w:bCs/>
        </w:rPr>
        <w:t xml:space="preserve">Location: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summary is for discussion purposes only. Not a binding offer or commitment. All terms subject to definitive agreements and due diligence.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Investment Summary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