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COMPLIANCE DD INDEX</w:t>
      </w:r>
    </w:p>
    <w:p>
      <w:pPr>
        <w:pStyle w:val="Heading2"/>
      </w:pPr>
      <w:bookmarkStart w:id="9" w:name="_pdpl"/>
      <w:r>
        <w:t xml:space="preserve">1. PDPL</w:t>
      </w:r>
    </w:p>
    <w:p>
      <w:pPr>
        <w:pStyle w:val="Compact"/>
        <w:numPr>
          <w:ilvl w:val="0"/>
          <w:numId w:val="1001"/>
        </w:numPr>
      </w:pPr>
      <w:r>
        <w:t xml:space="preserve">SDAIA registration / privacy policy / consent / DSR / breach / cross-border / ROPA</w:t>
      </w:r>
    </w:p>
    <w:p>
      <w:pPr>
        <w:pStyle w:val="Heading2"/>
      </w:pPr>
      <w:bookmarkStart w:id="10" w:name="_amlcft"/>
      <w:r>
        <w:t xml:space="preserve">2. AML/CFT</w:t>
      </w:r>
    </w:p>
    <w:p>
      <w:pPr>
        <w:pStyle w:val="Compact"/>
        <w:numPr>
          <w:ilvl w:val="0"/>
          <w:numId w:val="1002"/>
        </w:numPr>
      </w:pPr>
      <w:r>
        <w:t xml:space="preserve">Program / KYC / TM / sanctions / SAR / MLRO</w:t>
      </w:r>
    </w:p>
    <w:p>
      <w:pPr>
        <w:pStyle w:val="Heading2"/>
      </w:pPr>
      <w:bookmarkStart w:id="11" w:name="_cybersecurity"/>
      <w:r>
        <w:t xml:space="preserve">3. Cybersecurity</w:t>
      </w:r>
    </w:p>
    <w:p>
      <w:pPr>
        <w:pStyle w:val="Compact"/>
        <w:numPr>
          <w:ilvl w:val="0"/>
          <w:numId w:val="1003"/>
        </w:numPr>
      </w:pPr>
      <w:r>
        <w:t xml:space="preserve">NCA ECC / SAMA CSF / ISO 27001 / SOC2 / IR</w:t>
      </w:r>
    </w:p>
    <w:p>
      <w:pPr>
        <w:pStyle w:val="Heading2"/>
      </w:pPr>
      <w:bookmarkStart w:id="12" w:name="_sector"/>
      <w:r>
        <w:t xml:space="preserve">4. Sector</w:t>
      </w:r>
    </w:p>
    <w:p>
      <w:pPr>
        <w:pStyle w:val="Compact"/>
        <w:numPr>
          <w:ilvl w:val="0"/>
          <w:numId w:val="1004"/>
        </w:numPr>
      </w:pPr>
      <w:r>
        <w:t xml:space="preserve">SAMA / IA / CMA</w:t>
      </w:r>
    </w:p>
    <w:p>
      <w:pPr>
        <w:pStyle w:val="Heading2"/>
      </w:pPr>
      <w:bookmarkStart w:id="13" w:name="_cbe0fd581c14bda23da9de34ba4b51244a093b9"/>
      <w:r>
        <w:t xml:space="preserve">5. Data Governance</w:t>
      </w:r>
    </w:p>
    <w:p>
      <w:pPr>
        <w:pStyle w:val="Compact"/>
        <w:numPr>
          <w:ilvl w:val="0"/>
          <w:numId w:val="1005"/>
        </w:numPr>
      </w:pPr>
      <w:r>
        <w:t xml:space="preserve">Classification / retention / deletion / access / audit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Due Diligence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DD Index</dc:title>
  <dc:creator>HISN Platform</dc:creator>
  <cp:keywords>HISN, FCDOS, financial crime, decision operating system</cp:keywords>
  <dcterms:created xsi:type="dcterms:W3CDTF">2026-10-13T13:04:11Z</dcterms:created>
  <dcterms:modified xsi:type="dcterms:W3CDTF">2026-10-13T13:04:11Z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