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HISN — EXECUTIVE SUMMARY v2</w:t>
      </w:r>
    </w:p>
    <w:p>
      <w:pPr>
        <w:pStyle w:val="BodyText"/>
      </w:pPr>
      <w:r>
        <w:rPr>
          <w:b/>
          <w:bCs/>
        </w:rPr>
        <w:t xml:space="preserve">Date:</w:t>
      </w:r>
      <w:r>
        <w:t xml:space="preserve"> </w:t>
      </w:r>
      <w:r>
        <w:t xml:space="preserve">13 October 2026</w:t>
      </w:r>
      <w:r>
        <w:t xml:space="preserve"> </w:t>
      </w:r>
      <w:r>
        <w:rPr>
          <w:b/>
          <w:bCs/>
        </w:rPr>
        <w:t xml:space="preserve">Round:</w:t>
      </w:r>
      <w:r>
        <w:t xml:space="preserve"> </w:t>
      </w:r>
      <w:r>
        <w:t xml:space="preserve">SAR 7.5M at SAR 30M pre-money (target)</w:t>
      </w:r>
    </w:p>
    <w:p>
      <w:pPr>
        <w:pStyle w:val="Heading2"/>
      </w:pPr>
      <w:bookmarkStart w:id="9" w:name="_opportunity"/>
      <w:r>
        <w:t xml:space="preserve">Opportunity</w:t>
      </w:r>
    </w:p>
    <w:p>
      <w:pPr>
        <w:pStyle w:val="FirstParagraph"/>
      </w:pPr>
      <w:r>
        <w:t xml:space="preserve">Fragmented compliance stacks; no unified decision authority.</w:t>
      </w:r>
    </w:p>
    <w:p>
      <w:pPr>
        <w:pStyle w:val="Heading2"/>
      </w:pPr>
      <w:bookmarkStart w:id="10" w:name="_solution"/>
      <w:r>
        <w:t xml:space="preserve">Solution</w:t>
      </w:r>
    </w:p>
    <w:p>
      <w:pPr>
        <w:pStyle w:val="FirstParagraph"/>
      </w:pPr>
      <w:r>
        <w:t xml:space="preserve">One canonical decision runtime.</w:t>
      </w:r>
    </w:p>
    <w:p>
      <w:pPr>
        <w:pStyle w:val="Heading2"/>
      </w:pPr>
      <w:bookmarkStart w:id="11" w:name="_proven"/>
      <w:r>
        <w:t xml:space="preserve">Proven</w:t>
      </w:r>
    </w:p>
    <w:p>
      <w:pPr>
        <w:pStyle w:val="Compact"/>
        <w:numPr>
          <w:ilvl w:val="0"/>
          <w:numId w:val="1001"/>
        </w:numPr>
      </w:pPr>
      <w:r>
        <w:t xml:space="preserve">Canonical runtime + explicit composition</w:t>
      </w:r>
    </w:p>
    <w:p>
      <w:pPr>
        <w:pStyle w:val="Compact"/>
        <w:numPr>
          <w:ilvl w:val="0"/>
          <w:numId w:val="1001"/>
        </w:numPr>
      </w:pPr>
      <w:r>
        <w:t xml:space="preserve">6 engines: AML, Fraud, Sanctions, KYC, KYB, Graph</w:t>
      </w:r>
    </w:p>
    <w:p>
      <w:pPr>
        <w:pStyle w:val="Compact"/>
        <w:numPr>
          <w:ilvl w:val="0"/>
          <w:numId w:val="1001"/>
        </w:numPr>
      </w:pPr>
      <w:r>
        <w:t xml:space="preserve">980+ tests</w:t>
      </w:r>
    </w:p>
    <w:p>
      <w:pPr>
        <w:pStyle w:val="Compact"/>
        <w:numPr>
          <w:ilvl w:val="0"/>
          <w:numId w:val="1001"/>
        </w:numPr>
      </w:pPr>
      <w:r>
        <w:t xml:space="preserve">Multi-tenant RLS + FORCE RLS</w:t>
      </w:r>
    </w:p>
    <w:p>
      <w:pPr>
        <w:pStyle w:val="Compact"/>
        <w:numPr>
          <w:ilvl w:val="0"/>
          <w:numId w:val="1001"/>
        </w:numPr>
      </w:pPr>
      <w:r>
        <w:t xml:space="preserve">Decision DNA + Evidence + Audit</w:t>
      </w:r>
    </w:p>
    <w:p>
      <w:pPr>
        <w:pStyle w:val="Compact"/>
        <w:numPr>
          <w:ilvl w:val="0"/>
          <w:numId w:val="1001"/>
        </w:numPr>
      </w:pPr>
      <w:r>
        <w:t xml:space="preserve">FARES / FARIDA / FAIRUZ validation</w:t>
      </w:r>
    </w:p>
    <w:p>
      <w:pPr>
        <w:pStyle w:val="Compact"/>
        <w:numPr>
          <w:ilvl w:val="0"/>
          <w:numId w:val="1001"/>
        </w:numPr>
      </w:pPr>
      <w:r>
        <w:t xml:space="preserve">52 AML/TM scenarios</w:t>
      </w:r>
    </w:p>
    <w:p>
      <w:pPr>
        <w:pStyle w:val="Compact"/>
        <w:numPr>
          <w:ilvl w:val="0"/>
          <w:numId w:val="1001"/>
        </w:numPr>
      </w:pPr>
      <w:r>
        <w:t xml:space="preserve">Terminal Assurance</w:t>
      </w:r>
    </w:p>
    <w:p>
      <w:pPr>
        <w:pStyle w:val="Heading2"/>
      </w:pPr>
      <w:bookmarkStart w:id="12" w:name="_3766ca6dac0b9ef9b1f220c3305262d21be9c21"/>
      <w:r>
        <w:t xml:space="preserve">In Progress</w:t>
      </w:r>
    </w:p>
    <w:p>
      <w:pPr>
        <w:pStyle w:val="Compact"/>
        <w:numPr>
          <w:ilvl w:val="0"/>
          <w:numId w:val="1002"/>
        </w:numPr>
      </w:pPr>
      <w:r>
        <w:t xml:space="preserve">M0 ✅ | M1 ✅ | M2 🔄 | M3-M8 pending</w:t>
      </w:r>
    </w:p>
    <w:p>
      <w:pPr>
        <w:pStyle w:val="Heading2"/>
      </w:pPr>
      <w:bookmarkStart w:id="13" w:name="_6c13ea783908e07cc5082e8262090cc0f2861ac"/>
      <w:r>
        <w:t xml:space="preserve">Why Now</w:t>
      </w:r>
    </w:p>
    <w:p>
      <w:pPr>
        <w:pStyle w:val="Compact"/>
        <w:numPr>
          <w:ilvl w:val="0"/>
          <w:numId w:val="1003"/>
        </w:numPr>
      </w:pPr>
      <w:r>
        <w:t xml:space="preserve">371 FinTechs</w:t>
      </w:r>
    </w:p>
    <w:p>
      <w:pPr>
        <w:pStyle w:val="Compact"/>
        <w:numPr>
          <w:ilvl w:val="0"/>
          <w:numId w:val="1003"/>
        </w:numPr>
      </w:pPr>
      <w:r>
        <w:t xml:space="preserve">SAR 30B+ investment</w:t>
      </w:r>
    </w:p>
    <w:p>
      <w:pPr>
        <w:pStyle w:val="Compact"/>
        <w:numPr>
          <w:ilvl w:val="0"/>
          <w:numId w:val="1003"/>
        </w:numPr>
      </w:pPr>
      <w:r>
        <w:t xml:space="preserve">Regulatory pressure</w:t>
      </w:r>
    </w:p>
    <w:p>
      <w:pPr>
        <w:pStyle w:val="Heading2"/>
      </w:pPr>
      <w:bookmarkStart w:id="14" w:name="_39569eed24f283f2af64009f60543e744b19108"/>
      <w:r>
        <w:t xml:space="preserve">Business Model</w:t>
      </w:r>
    </w:p>
    <w:p>
      <w:pPr>
        <w:pStyle w:val="FirstParagraph"/>
      </w:pPr>
      <w:r>
        <w:t xml:space="preserve">ACV SAR 500K – 5M; target 35 customers / SAR 77M ARR by Y5.</w:t>
      </w:r>
    </w:p>
    <w:p>
      <w:pPr>
        <w:pStyle w:val="Heading2"/>
      </w:pPr>
      <w:bookmarkStart w:id="15" w:name="_5d54f14a3d0f8d99034ed42aabf85ebfc96875f"/>
      <w:r>
        <w:t xml:space="preserve">The Ask</w:t>
      </w:r>
    </w:p>
    <w:p>
      <w:pPr>
        <w:pStyle w:val="FirstParagraph"/>
      </w:pPr>
      <w:r>
        <w:t xml:space="preserve">SAR 7.5M at SAR 30M target pre-money.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Summary v2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