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EXIT ANALYSIS</w:t>
      </w:r>
    </w:p>
    <w:p>
      <w:pPr>
        <w:pStyle w:val="Heading2"/>
      </w:pPr>
      <w:bookmarkStart w:id="9" w:name="_options"/>
      <w:r>
        <w:t xml:space="preserve">Options</w:t>
      </w:r>
    </w:p>
    <w:p>
      <w:pPr>
        <w:pStyle w:val="Compact"/>
        <w:numPr>
          <w:ilvl w:val="0"/>
          <w:numId w:val="1001"/>
        </w:numPr>
      </w:pPr>
      <w:r>
        <w:t xml:space="preserve">IPO (Tadawul, 5-7y)</w:t>
      </w:r>
    </w:p>
    <w:p>
      <w:pPr>
        <w:pStyle w:val="Compact"/>
        <w:numPr>
          <w:ilvl w:val="0"/>
          <w:numId w:val="1001"/>
        </w:numPr>
      </w:pPr>
      <w:r>
        <w:t xml:space="preserve">Trade sale (3-5y)</w:t>
      </w:r>
    </w:p>
    <w:p>
      <w:pPr>
        <w:pStyle w:val="Compact"/>
        <w:numPr>
          <w:ilvl w:val="0"/>
          <w:numId w:val="1001"/>
        </w:numPr>
      </w:pPr>
      <w:r>
        <w:t xml:space="preserve">Secondary (3y)</w:t>
      </w:r>
    </w:p>
    <w:p>
      <w:pPr>
        <w:pStyle w:val="Heading2"/>
      </w:pPr>
      <w:bookmarkStart w:id="10" w:name="_comparables"/>
      <w:r>
        <w:t xml:space="preserve">Comparables</w:t>
      </w:r>
    </w:p>
    <w:p>
      <w:pPr>
        <w:pStyle w:val="Compact"/>
        <w:numPr>
          <w:ilvl w:val="0"/>
          <w:numId w:val="1002"/>
        </w:numPr>
      </w:pPr>
      <w:r>
        <w:t xml:space="preserve">NICE Actimize acquisition</w:t>
      </w:r>
    </w:p>
    <w:p>
      <w:pPr>
        <w:pStyle w:val="Compact"/>
        <w:numPr>
          <w:ilvl w:val="0"/>
          <w:numId w:val="1002"/>
        </w:numPr>
      </w:pPr>
      <w:r>
        <w:t xml:space="preserve">SAS AML</w:t>
      </w:r>
    </w:p>
    <w:p>
      <w:pPr>
        <w:pStyle w:val="Compact"/>
        <w:numPr>
          <w:ilvl w:val="0"/>
          <w:numId w:val="1002"/>
        </w:numPr>
      </w:pPr>
      <w:r>
        <w:t xml:space="preserve">Local exits</w:t>
      </w:r>
    </w:p>
    <w:p>
      <w:pPr>
        <w:pStyle w:val="Heading2"/>
      </w:pPr>
      <w:bookmarkStart w:id="11" w:name="_13f3e1fbce338cd6c36c4ec82b31f17efc91108"/>
      <w:r>
        <w:t xml:space="preserve">Valuation Range</w:t>
      </w:r>
    </w:p>
    <w:p>
      <w:pPr>
        <w:pStyle w:val="Compact"/>
        <w:numPr>
          <w:ilvl w:val="0"/>
          <w:numId w:val="1003"/>
        </w:numPr>
      </w:pPr>
      <w:r>
        <w:t xml:space="preserve">5x ARR: ___</w:t>
      </w:r>
    </w:p>
    <w:p>
      <w:pPr>
        <w:pStyle w:val="Compact"/>
        <w:numPr>
          <w:ilvl w:val="0"/>
          <w:numId w:val="1003"/>
        </w:numPr>
      </w:pPr>
      <w:r>
        <w:t xml:space="preserve">10x ARR: ___</w:t>
      </w:r>
    </w:p>
    <w:p>
      <w:pPr>
        <w:pStyle w:val="Compact"/>
        <w:numPr>
          <w:ilvl w:val="0"/>
          <w:numId w:val="1003"/>
        </w:numPr>
      </w:pPr>
      <w:r>
        <w:t xml:space="preserve">15x ARR: ___</w:t>
      </w:r>
    </w:p>
    <w:p>
      <w:pPr>
        <w:pStyle w:val="Heading2"/>
      </w:pPr>
      <w:bookmarkStart w:id="12" w:name="_returns"/>
      <w:r>
        <w:t xml:space="preserve">Returns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Investor Multiple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Trade Sale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Secondary</w:t>
            </w: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Analysis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