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INVESTOR RIGHTS AGREEMENT — OUTLINE</w:t>
      </w:r>
    </w:p>
    <w:p>
      <w:pPr>
        <w:pStyle w:val="Heading2"/>
      </w:pPr>
      <w:bookmarkStart w:id="9" w:name="_1e586100864f30990c66942bff666b428bd4718"/>
      <w:r>
        <w:t xml:space="preserve">1. Information Rights</w:t>
      </w:r>
    </w:p>
    <w:p>
      <w:pPr>
        <w:pStyle w:val="FirstParagraph"/>
      </w:pPr>
      <w:r>
        <w:t xml:space="preserve">Monthly, quarterly, annual</w:t>
      </w:r>
    </w:p>
    <w:p>
      <w:pPr>
        <w:pStyle w:val="Heading2"/>
      </w:pPr>
      <w:bookmarkStart w:id="10" w:name="_a870b8963c5e5fe2b2f8e405f26f4e05cbbf3cb"/>
      <w:r>
        <w:t xml:space="preserve">2. Inspection Rights</w:t>
      </w:r>
    </w:p>
    <w:p>
      <w:pPr>
        <w:pStyle w:val="FirstParagraph"/>
      </w:pPr>
      <w:r>
        <w:t xml:space="preserve">Reasonable</w:t>
      </w:r>
    </w:p>
    <w:p>
      <w:pPr>
        <w:pStyle w:val="Heading2"/>
      </w:pPr>
      <w:bookmarkStart w:id="11" w:name="_49f6c056d9e251c5a7c5d6166946834a38f6f95"/>
      <w:r>
        <w:t xml:space="preserve">3. Board Observer</w:t>
      </w:r>
    </w:p>
    <w:p>
      <w:pPr>
        <w:pStyle w:val="FirstParagraph"/>
      </w:pPr>
      <w:r>
        <w:t xml:space="preserve">If not director</w:t>
      </w:r>
    </w:p>
    <w:p>
      <w:pPr>
        <w:pStyle w:val="Heading2"/>
      </w:pPr>
      <w:bookmarkStart w:id="12" w:name="_6add625f56d080c945bd708ef9be7e5f5eee843"/>
      <w:r>
        <w:t xml:space="preserve">4. Pro-Rata</w:t>
      </w:r>
    </w:p>
    <w:p>
      <w:pPr>
        <w:pStyle w:val="FirstParagraph"/>
      </w:pPr>
      <w:r>
        <w:t xml:space="preserve">Future rounds</w:t>
      </w:r>
    </w:p>
    <w:p>
      <w:pPr>
        <w:pStyle w:val="Heading2"/>
      </w:pPr>
      <w:bookmarkStart w:id="13" w:name="_d7d9f9ed9156d8589c39b3b9b59b351c49645ab"/>
      <w:r>
        <w:t xml:space="preserve">5. Registration Rights</w:t>
      </w:r>
    </w:p>
    <w:p>
      <w:pPr>
        <w:pStyle w:val="FirstParagraph"/>
      </w:pPr>
      <w:r>
        <w:t xml:space="preserve">Post-IPO (if applicable)</w:t>
      </w:r>
    </w:p>
    <w:p>
      <w:pPr>
        <w:pStyle w:val="Heading2"/>
      </w:pPr>
      <w:bookmarkStart w:id="14" w:name="_confidentiality"/>
      <w:r>
        <w:t xml:space="preserve">6. Confidentiality</w:t>
      </w:r>
    </w:p>
    <w:p>
      <w:pPr>
        <w:pStyle w:val="Heading2"/>
      </w:pPr>
      <w:bookmarkStart w:id="15" w:name="_termination"/>
      <w:r>
        <w:t xml:space="preserve">7. Termination</w:t>
      </w:r>
    </w:p>
    <w:p>
      <w:pPr>
        <w:pStyle w:val="FirstParagraph"/>
      </w:pPr>
      <w:r>
        <w:t xml:space="preserve">IPO or acquisition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Rights Agreement Outline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