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VALUATION DEFENSE DOCUMENT</w:t>
      </w:r>
    </w:p>
    <w:p>
      <w:pPr>
        <w:pStyle w:val="Heading2"/>
      </w:pPr>
      <w:bookmarkStart w:id="9" w:name="_methodology"/>
      <w:r>
        <w:t xml:space="preserve">1. Methodology</w:t>
      </w:r>
    </w:p>
    <w:p>
      <w:pPr>
        <w:pStyle w:val="FirstParagraph"/>
      </w:pPr>
      <w:r>
        <w:t xml:space="preserve">Triangulated: Cost, IP, Market, DCF</w:t>
      </w:r>
    </w:p>
    <w:p>
      <w:pPr>
        <w:pStyle w:val="Heading2"/>
      </w:pPr>
      <w:bookmarkStart w:id="10" w:name="_range"/>
      <w:r>
        <w:t xml:space="preserve">2. Range</w:t>
      </w:r>
    </w:p>
    <w:p>
      <w:pPr>
        <w:pStyle w:val="FirstParagraph"/>
      </w:pPr>
      <w:r>
        <w:t xml:space="preserve">SAR 22M – 32M composite</w:t>
      </w:r>
    </w:p>
    <w:p>
      <w:pPr>
        <w:pStyle w:val="Heading2"/>
      </w:pPr>
      <w:bookmarkStart w:id="11" w:name="_ff0ea3d5afd0441f8f7e91de177918c82908978"/>
      <w:r>
        <w:t xml:space="preserve">3. Selected Anchor</w:t>
      </w:r>
    </w:p>
    <w:p>
      <w:pPr>
        <w:pStyle w:val="FirstParagraph"/>
      </w:pPr>
      <w:r>
        <w:t xml:space="preserve">SAR 30M pre-money</w:t>
      </w:r>
    </w:p>
    <w:p>
      <w:pPr>
        <w:pStyle w:val="Heading2"/>
      </w:pPr>
      <w:bookmarkStart w:id="12" w:name="_justification"/>
      <w:r>
        <w:t xml:space="preserve">4. Justification</w:t>
      </w:r>
    </w:p>
    <w:p>
      <w:pPr>
        <w:pStyle w:val="Compact"/>
        <w:numPr>
          <w:ilvl w:val="0"/>
          <w:numId w:val="1001"/>
        </w:numPr>
      </w:pPr>
      <w:r>
        <w:t xml:space="preserve">Built technical asset</w:t>
      </w:r>
    </w:p>
    <w:p>
      <w:pPr>
        <w:pStyle w:val="Compact"/>
        <w:numPr>
          <w:ilvl w:val="0"/>
          <w:numId w:val="1001"/>
        </w:numPr>
      </w:pPr>
      <w:r>
        <w:t xml:space="preserve">Multi-domain validation</w:t>
      </w:r>
    </w:p>
    <w:p>
      <w:pPr>
        <w:pStyle w:val="Compact"/>
        <w:numPr>
          <w:ilvl w:val="0"/>
          <w:numId w:val="1001"/>
        </w:numPr>
      </w:pPr>
      <w:r>
        <w:t xml:space="preserve">Governance discipline</w:t>
      </w:r>
    </w:p>
    <w:p>
      <w:pPr>
        <w:pStyle w:val="Compact"/>
        <w:numPr>
          <w:ilvl w:val="0"/>
          <w:numId w:val="1001"/>
        </w:numPr>
      </w:pPr>
      <w:r>
        <w:t xml:space="preserve">KSA market timing</w:t>
      </w:r>
    </w:p>
    <w:p>
      <w:pPr>
        <w:pStyle w:val="Heading2"/>
      </w:pPr>
      <w:bookmarkStart w:id="13" w:name="_comparables"/>
      <w:r>
        <w:t xml:space="preserve">5. Comparables</w:t>
      </w:r>
    </w:p>
    <w:p>
      <w:pPr>
        <w:pStyle w:val="FirstParagraph"/>
      </w:pPr>
      <w:r>
        <w:t xml:space="preserve">MENA RegTech early-stage</w:t>
      </w:r>
    </w:p>
    <w:p>
      <w:pPr>
        <w:pStyle w:val="Heading2"/>
      </w:pPr>
      <w:bookmarkStart w:id="14" w:name="_sensitivity"/>
      <w:r>
        <w:t xml:space="preserve">6. Sensitivity</w:t>
      </w:r>
    </w:p>
    <w:p>
      <w:pPr>
        <w:pStyle w:val="FirstParagraph"/>
      </w:pPr>
      <w:r>
        <w:t xml:space="preserve">Downside 25M / Base 30M / Upside 35M</w:t>
      </w:r>
    </w:p>
    <w:p>
      <w:pPr>
        <w:pStyle w:val="Heading2"/>
      </w:pPr>
      <w:bookmarkStart w:id="15" w:name="_ad3b6047895bf425c49ff362fbc5a0d993d70f6"/>
      <w:r>
        <w:t xml:space="preserve">7. Not a Fairness Opinion</w:t>
      </w:r>
    </w:p>
    <w:p>
      <w:pPr>
        <w:pStyle w:val="FirstParagraph"/>
      </w:pPr>
      <w:r>
        <w:t xml:space="preserve">Management view only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Defense Document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