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01_Executive_Summary</w:t>
      </w:r>
    </w:p>
    <w:p>
      <w:pPr>
        <w:pStyle w:val="Author"/>
      </w:pPr>
      <w:r>
        <w:t xml:space="preserve">HISN Platform</w:t>
      </w:r>
    </w:p>
    <w:p>
      <w:pPr>
        <w:pStyle w:val="Heading1"/>
      </w:pPr>
      <w:bookmarkStart w:id="9" w:name="_38c7533c9507b37abdae57cd3be5583d0f2e588"/>
      <w:r>
        <w:t xml:space="preserve">MARKET STUDY — EXECUTIVE SUMMARY</w:t>
      </w:r>
    </w:p>
    <w:p>
      <w:pPr>
        <w:pStyle w:val="FirstParagraph"/>
      </w:pPr>
      <w:r>
        <w:rPr>
          <w:b/>
          <w:bCs/>
        </w:rPr>
        <w:t xml:space="preserve">HISN FCDOS | Financial Crime Decision Operating System</w:t>
      </w:r>
      <w:r>
        <w:t xml:space="preserve"> </w:t>
      </w:r>
      <w:r>
        <w:rPr>
          <w:b/>
          <w:bCs/>
        </w:rPr>
        <w:t xml:space="preserve">Report Date:</w:t>
      </w:r>
      <w:r>
        <w:t xml:space="preserve"> </w:t>
      </w:r>
      <w:r>
        <w:t xml:space="preserve">14 October 2026</w:t>
      </w:r>
      <w:r>
        <w:t xml:space="preserve"> </w:t>
      </w:r>
      <w:r>
        <w:rPr>
          <w:b/>
          <w:bCs/>
        </w:rPr>
        <w:t xml:space="preserve">Classification:</w:t>
      </w:r>
      <w:r>
        <w:t xml:space="preserve"> </w:t>
      </w:r>
      <w:r>
        <w:t xml:space="preserve">Confidential — Investor Review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0" w:name="_purpose"/>
      <w:r>
        <w:t xml:space="preserve">1. Purpose</w:t>
      </w:r>
    </w:p>
    <w:p>
      <w:pPr>
        <w:pStyle w:val="FirstParagraph"/>
      </w:pPr>
      <w:r>
        <w:t xml:space="preserve">This Market Study establishes the addressable opportunity for HISN FCDOS across the Kingdom of Saudi Arabia and the broader GCC financial crime compliance technology market.</w:t>
      </w:r>
    </w:p>
    <w:p>
      <w:pPr>
        <w:pStyle w:val="Heading2"/>
      </w:pPr>
      <w:bookmarkStart w:id="11" w:name="_491946cc394cdd0f7789e100df2a90901f7bcf1"/>
      <w:r>
        <w:t xml:space="preserve">2. Headline Findings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Metric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  <w:tc>
          <w:tcPr/>
          <w:p>
            <w:pPr>
              <w:pStyle w:val="Compact"/>
            </w:pPr>
            <w:r>
              <w:t xml:space="preserve">Source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Global financial crime compliance spend (annual)</w:t>
            </w:r>
          </w:p>
        </w:tc>
        <w:tc>
          <w:tcPr/>
          <w:p>
            <w:pPr>
              <w:pStyle w:val="Compact"/>
            </w:pPr>
            <w:r>
              <w:t xml:space="preserve">USD 200B+</w:t>
            </w:r>
          </w:p>
        </w:tc>
        <w:tc>
          <w:tcPr/>
          <w:p>
            <w:pPr>
              <w:pStyle w:val="Compact"/>
            </w:pPr>
            <w:r>
              <w:t xml:space="preserve">Industry consensus 2025-2026</w:t>
            </w:r>
          </w:p>
        </w:tc>
      </w:tr>
      <w:tr>
        <w:tc>
          <w:tcPr/>
          <w:p>
            <w:pPr>
              <w:pStyle w:val="Compact"/>
            </w:pPr>
            <w:r>
              <w:t xml:space="preserve">Global financial crime software segment</w:t>
            </w:r>
          </w:p>
        </w:tc>
        <w:tc>
          <w:tcPr/>
          <w:p>
            <w:pPr>
              <w:pStyle w:val="Compact"/>
            </w:pPr>
            <w:r>
              <w:t xml:space="preserve">USD 15B – 20B</w:t>
            </w:r>
          </w:p>
        </w:tc>
        <w:tc>
          <w:tcPr/>
          <w:p>
            <w:pPr>
              <w:pStyle w:val="Compact"/>
            </w:pPr>
            <w:r>
              <w:t xml:space="preserve">Analyst triangulation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MENA RegTech addressable market</w:t>
            </w:r>
          </w:p>
        </w:tc>
        <w:tc>
          <w:tcPr/>
          <w:p>
            <w:pPr>
              <w:pStyle w:val="Compact"/>
            </w:pPr>
            <w:r>
              <w:t xml:space="preserve">USD 2.0B – 3.0B</w:t>
            </w:r>
          </w:p>
        </w:tc>
        <w:tc>
          <w:tcPr/>
          <w:p>
            <w:pPr>
              <w:pStyle w:val="Compact"/>
            </w:pPr>
            <w:r>
              <w:t xml:space="preserve">Regional analyst estimates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Saudi FinTech ecosystem (active companies)</w:t>
            </w:r>
          </w:p>
        </w:tc>
        <w:tc>
          <w:tcPr/>
          <w:p>
            <w:pPr>
              <w:pStyle w:val="Compact"/>
            </w:pPr>
            <w:r>
              <w:t xml:space="preserve">371</w:t>
            </w:r>
          </w:p>
        </w:tc>
        <w:tc>
          <w:tcPr/>
          <w:p>
            <w:pPr>
              <w:pStyle w:val="Compact"/>
            </w:pPr>
            <w:r>
              <w:t xml:space="preserve">SAMA / Fintech Saudi, Aug 2026</w:t>
            </w:r>
          </w:p>
        </w:tc>
      </w:tr>
      <w:tr>
        <w:tc>
          <w:tcPr/>
          <w:p>
            <w:pPr>
              <w:pStyle w:val="Compact"/>
            </w:pPr>
            <w:r>
              <w:t xml:space="preserve">Cumulative FinTech investment in KSA (H1 2026)</w:t>
            </w:r>
          </w:p>
        </w:tc>
        <w:tc>
          <w:tcPr/>
          <w:p>
            <w:pPr>
              <w:pStyle w:val="Compact"/>
            </w:pPr>
            <w:r>
              <w:t xml:space="preserve">SAR 30B+</w:t>
            </w:r>
          </w:p>
        </w:tc>
        <w:tc>
          <w:tcPr/>
          <w:p>
            <w:pPr>
              <w:pStyle w:val="Compact"/>
            </w:pPr>
            <w:r>
              <w:t xml:space="preserve">SAMA / Fintech Saudi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Saudi financial-crime software SAM</w:t>
            </w:r>
          </w:p>
        </w:tc>
        <w:tc>
          <w:tcPr/>
          <w:p>
            <w:pPr>
              <w:pStyle w:val="Compact"/>
            </w:pPr>
            <w:r>
              <w:t xml:space="preserve">SAR 1.2B – 1.8B</w:t>
            </w:r>
          </w:p>
        </w:tc>
        <w:tc>
          <w:tcPr/>
          <w:p>
            <w:pPr>
              <w:pStyle w:val="Compact"/>
            </w:pPr>
            <w:r>
              <w:t xml:space="preserve">Triangulated — see §4</w:t>
            </w:r>
          </w:p>
        </w:tc>
      </w:tr>
      <w:tr>
        <w:tc>
          <w:tcPr/>
          <w:p>
            <w:pPr>
              <w:pStyle w:val="Compact"/>
            </w:pPr>
            <w:r>
              <w:t xml:space="preserve">HISN 5-year SOM</w:t>
            </w:r>
          </w:p>
        </w:tc>
        <w:tc>
          <w:tcPr/>
          <w:p>
            <w:pPr>
              <w:pStyle w:val="Compact"/>
            </w:pPr>
            <w:r>
              <w:t xml:space="preserve">SAR 120M – 180M</w:t>
            </w:r>
          </w:p>
        </w:tc>
        <w:tc>
          <w:tcPr/>
          <w:p>
            <w:pPr>
              <w:pStyle w:val="Compact"/>
            </w:pPr>
            <w:r>
              <w:t xml:space="preserve">Bottom-up model — see §5</w:t>
            </w:r>
          </w:p>
        </w:tc>
      </w:tr>
    </w:tbl>
    <w:p>
      <w:pPr>
        <w:pStyle w:val="Heading2"/>
      </w:pPr>
      <w:bookmarkStart w:id="12" w:name="_e6ca8278763675971a84e7a3a072db3e2f51775"/>
      <w:r>
        <w:t xml:space="preserve">3. Market Structure</w:t>
      </w:r>
    </w:p>
    <w:p>
      <w:pPr>
        <w:pStyle w:val="FirstParagraph"/>
      </w:pPr>
      <w:r>
        <w:t xml:space="preserve">Global Financial Crime Compliance</w:t>
      </w:r>
      <w:r>
        <w:t xml:space="preserve"> </w:t>
      </w:r>
      <w:r>
        <w:t xml:space="preserve">├── Software (USD 15-20B)</w:t>
      </w:r>
      <w:r>
        <w:t xml:space="preserve"> </w:t>
      </w:r>
      <w:r>
        <w:t xml:space="preserve">├── Services (USD 40-60B)</w:t>
      </w:r>
      <w:r>
        <w:t xml:space="preserve"> </w:t>
      </w:r>
      <w:r>
        <w:t xml:space="preserve">└── Data &amp; Screening (USD 20-30B)</w:t>
      </w:r>
    </w:p>
    <w:p>
      <w:pPr>
        <w:pStyle w:val="BodyText"/>
      </w:pPr>
      <w:r>
        <w:t xml:space="preserve">MENA RegTech (USD 2-3B)</w:t>
      </w:r>
      <w:r>
        <w:t xml:space="preserve"> </w:t>
      </w:r>
      <w:r>
        <w:t xml:space="preserve">├── Saudi Arabia</w:t>
      </w:r>
      <w:r>
        <w:t xml:space="preserve"> </w:t>
      </w:r>
      <w:r>
        <w:t xml:space="preserve">│ ├── Tier-1 Banks</w:t>
      </w:r>
      <w:r>
        <w:t xml:space="preserve"> </w:t>
      </w:r>
      <w:r>
        <w:t xml:space="preserve">│ ├── Digital Banks</w:t>
      </w:r>
      <w:r>
        <w:t xml:space="preserve"> </w:t>
      </w:r>
      <w:r>
        <w:t xml:space="preserve">│ ├── Insurance</w:t>
      </w:r>
      <w:r>
        <w:t xml:space="preserve"> </w:t>
      </w:r>
      <w:r>
        <w:t xml:space="preserve">│ ├── Exchange / Remittance / PSP</w:t>
      </w:r>
      <w:r>
        <w:t xml:space="preserve"> </w:t>
      </w:r>
      <w:r>
        <w:t xml:space="preserve">│ └── FinTech / Asset Managers</w:t>
      </w:r>
      <w:r>
        <w:t xml:space="preserve"> </w:t>
      </w:r>
      <w:r>
        <w:t xml:space="preserve">└── UAE / Qatar / Bahrain / Kuwait / Oman</w:t>
      </w:r>
    </w:p>
    <w:p>
      <w:pPr>
        <w:pStyle w:val="Heading2"/>
      </w:pPr>
      <w:bookmarkStart w:id="13" w:name="_b238384266d42f6d43d7968529e36523b54199a"/>
      <w:r>
        <w:t xml:space="preserve">4. Strategic Conclusion</w:t>
      </w:r>
    </w:p>
    <w:p>
      <w:pPr>
        <w:pStyle w:val="FirstParagraph"/>
      </w:pPr>
      <w:r>
        <w:t xml:space="preserve">HISN operates in a market where:</w:t>
      </w:r>
      <w:r>
        <w:t xml:space="preserve"> </w:t>
      </w:r>
      <w:r>
        <w:t xml:space="preserve">- Regulatory pressure is accelerating (SAMA, CMA, PDPL, NCA ECC)</w:t>
      </w:r>
      <w:r>
        <w:t xml:space="preserve"> </w:t>
      </w:r>
      <w:r>
        <w:t xml:space="preserve">- Fragmented point solutions create operational drag</w:t>
      </w:r>
      <w:r>
        <w:t xml:space="preserve"> </w:t>
      </w:r>
      <w:r>
        <w:t xml:space="preserve">- Decision auditability is emerging as a board-level requirement</w:t>
      </w:r>
      <w:r>
        <w:t xml:space="preserve"> </w:t>
      </w:r>
      <w:r>
        <w:t xml:space="preserve">- Local-first architecture is becoming a procurement gate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This document is a market analysis. It is not a valuation, fairness opinion, or regulatory approval.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Market Intelligence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01 Executive Summary</dc:title>
  <dc:creator>HISN Platform</dc:creator>
  <cp:keywords>HISN, FCDOS, financial crime, decision operating system</cp:keywords>
  <dcterms:created xsi:type="dcterms:W3CDTF">2026-10-14T09:26:24Z</dcterms:created>
  <dcterms:modified xsi:type="dcterms:W3CDTF">2026-10-14T09:26:24Z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