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01_Pricing_Philosophy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87b8bbe3ecc56b1ceb221974c688c21b186dc8e"/>
      <w:r>
        <w:t xml:space="preserve">PRICING PHILOSOPHY</w:t>
      </w:r>
    </w:p>
    <w:p>
      <w:pPr>
        <w:pStyle w:val="Heading2"/>
      </w:pPr>
      <w:bookmarkStart w:id="10" w:name="_principles"/>
      <w:r>
        <w:t xml:space="preserve">1. Principles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Value-based</w:t>
      </w:r>
      <w:r>
        <w:t xml:space="preserve">, not cost-plus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Transparent</w:t>
      </w:r>
      <w:r>
        <w:t xml:space="preserve">, not opaque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Scalable</w:t>
      </w:r>
      <w:r>
        <w:t xml:space="preserve">, not linear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Enterprise-ready</w:t>
      </w:r>
      <w:r>
        <w:t xml:space="preserve">, not SMB-first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KSA-localised</w:t>
      </w:r>
      <w:r>
        <w:t xml:space="preserve">, not imported</w:t>
      </w:r>
    </w:p>
    <w:p>
      <w:pPr>
        <w:pStyle w:val="Heading2"/>
      </w:pPr>
      <w:bookmarkStart w:id="11" w:name="_d83933f679399dc54ca96fc717162abc0d803ed"/>
      <w:r>
        <w:t xml:space="preserve">2. Anchor of Value</w:t>
      </w:r>
    </w:p>
    <w:p>
      <w:pPr>
        <w:pStyle w:val="FirstParagraph"/>
      </w:pPr>
      <w:r>
        <w:t xml:space="preserve">Value = function of:</w:t>
      </w:r>
      <w:r>
        <w:t xml:space="preserve"> </w:t>
      </w:r>
      <w:r>
        <w:t xml:space="preserve">- False positive reduction</w:t>
      </w:r>
      <w:r>
        <w:t xml:space="preserve"> </w:t>
      </w:r>
      <w:r>
        <w:t xml:space="preserve">- Investigator productivity</w:t>
      </w:r>
      <w:r>
        <w:t xml:space="preserve"> </w:t>
      </w:r>
      <w:r>
        <w:t xml:space="preserve">- Audit readiness</w:t>
      </w:r>
      <w:r>
        <w:t xml:space="preserve"> </w:t>
      </w:r>
      <w:r>
        <w:t xml:space="preserve">- Regulatory risk reduction</w:t>
      </w:r>
      <w:r>
        <w:t xml:space="preserve"> </w:t>
      </w:r>
      <w:r>
        <w:t xml:space="preserve">- Decision explainability</w:t>
      </w:r>
    </w:p>
    <w:p>
      <w:pPr>
        <w:pStyle w:val="Heading2"/>
      </w:pPr>
      <w:bookmarkStart w:id="12" w:name="_30e6ef6734f323f39416b47b9d50ee380bb4381"/>
      <w:r>
        <w:t xml:space="preserve">3. Pricing Objectives</w:t>
      </w:r>
    </w:p>
    <w:p>
      <w:pPr>
        <w:pStyle w:val="Compact"/>
        <w:numPr>
          <w:ilvl w:val="0"/>
          <w:numId w:val="1002"/>
        </w:numPr>
      </w:pPr>
      <w:r>
        <w:t xml:space="preserve">ACV: SAR 500K – 5M</w:t>
      </w:r>
    </w:p>
    <w:p>
      <w:pPr>
        <w:pStyle w:val="Compact"/>
        <w:numPr>
          <w:ilvl w:val="0"/>
          <w:numId w:val="1002"/>
        </w:numPr>
      </w:pPr>
      <w:r>
        <w:t xml:space="preserve">Gross margin: 75%+</w:t>
      </w:r>
    </w:p>
    <w:p>
      <w:pPr>
        <w:pStyle w:val="Compact"/>
        <w:numPr>
          <w:ilvl w:val="0"/>
          <w:numId w:val="1002"/>
        </w:numPr>
      </w:pPr>
      <w:r>
        <w:t xml:space="preserve">Land-and-expand</w:t>
      </w:r>
    </w:p>
    <w:p>
      <w:pPr>
        <w:pStyle w:val="Compact"/>
        <w:numPr>
          <w:ilvl w:val="0"/>
          <w:numId w:val="1002"/>
        </w:numPr>
      </w:pPr>
      <w:r>
        <w:t xml:space="preserve">Multi-year contract preference</w:t>
      </w:r>
    </w:p>
    <w:p>
      <w:pPr>
        <w:pStyle w:val="Compact"/>
        <w:numPr>
          <w:ilvl w:val="0"/>
          <w:numId w:val="1002"/>
        </w:numPr>
      </w:pPr>
      <w:r>
        <w:t xml:space="preserve">Predictable recurring revenue</w:t>
      </w:r>
    </w:p>
    <w:p>
      <w:pPr>
        <w:pStyle w:val="Heading2"/>
      </w:pPr>
      <w:bookmarkStart w:id="13" w:name="_f70ce446c77291f302c74d9785fc86b23c3bb92"/>
      <w:r>
        <w:t xml:space="preserve">4. Anti-Patterns</w:t>
      </w:r>
    </w:p>
    <w:p>
      <w:pPr>
        <w:pStyle w:val="Compact"/>
        <w:numPr>
          <w:ilvl w:val="0"/>
          <w:numId w:val="1003"/>
        </w:numPr>
      </w:pPr>
      <w:r>
        <w:t xml:space="preserve">Do NOT price per user (limits adoption)</w:t>
      </w:r>
    </w:p>
    <w:p>
      <w:pPr>
        <w:pStyle w:val="Compact"/>
        <w:numPr>
          <w:ilvl w:val="0"/>
          <w:numId w:val="1003"/>
        </w:numPr>
      </w:pPr>
      <w:r>
        <w:t xml:space="preserve">Do NOT price per alert (creates perverse incentives)</w:t>
      </w:r>
    </w:p>
    <w:p>
      <w:pPr>
        <w:pStyle w:val="Compact"/>
        <w:numPr>
          <w:ilvl w:val="0"/>
          <w:numId w:val="1003"/>
        </w:numPr>
      </w:pPr>
      <w:r>
        <w:t xml:space="preserve">Do NOT undercut global vendors (devalues category)</w:t>
      </w:r>
    </w:p>
    <w:p>
      <w:pPr>
        <w:pStyle w:val="Compact"/>
        <w:numPr>
          <w:ilvl w:val="0"/>
          <w:numId w:val="1003"/>
        </w:numPr>
      </w:pPr>
      <w:r>
        <w:t xml:space="preserve">Do NOT discount &gt; 25% without Board approval</w:t>
      </w:r>
    </w:p>
    <w:p>
      <w:r>
        <w:pict>
          <v:rect style="width:0;height:1.5pt" o:hralign="center" o:hrstd="t" o:hr="t"/>
        </w:pic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Pricing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Pricing Philosophy</dc:title>
  <dc:creator>HISN Platform</dc:creator>
  <cp:keywords>HISN, FCDOS, financial crime, decision operating system</cp:keywords>
  <dcterms:created xsi:type="dcterms:W3CDTF">2026-10-14T09:26:25Z</dcterms:created>
  <dcterms:modified xsi:type="dcterms:W3CDTF">2026-10-14T09:26:25Z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