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02_Global_Market_Context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f2ff825c028cef2e465aca9daad763d9107f9d0"/>
      <w:r>
        <w:t xml:space="preserve">GLOBAL MARKET CONTEXT</w:t>
      </w:r>
    </w:p>
    <w:p>
      <w:pPr>
        <w:pStyle w:val="Heading2"/>
      </w:pPr>
      <w:bookmarkStart w:id="10" w:name="_934b0c4ec46f59f223334d65ce5de6cf3ae3ebd"/>
      <w:r>
        <w:t xml:space="preserve">1. Global Financial Crime Landscape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Estimate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Annual global compliance spend (all-in)</w:t>
            </w:r>
          </w:p>
        </w:tc>
        <w:tc>
          <w:tcPr/>
          <w:p>
            <w:pPr>
              <w:pStyle w:val="Compact"/>
            </w:pPr>
            <w:r>
              <w:t xml:space="preserve">USD 200B+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crime software segment</w:t>
            </w:r>
          </w:p>
        </w:tc>
        <w:tc>
          <w:tcPr/>
          <w:p>
            <w:pPr>
              <w:pStyle w:val="Compact"/>
            </w:pPr>
            <w:r>
              <w:t xml:space="preserve">USD 15B – 20B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Annual growth rate (software)</w:t>
            </w:r>
          </w:p>
        </w:tc>
        <w:tc>
          <w:tcPr/>
          <w:p>
            <w:pPr>
              <w:pStyle w:val="Compact"/>
            </w:pPr>
            <w:r>
              <w:t xml:space="preserve">12% – 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AML/KYC/sanctions/fraud convergence trend</w:t>
            </w:r>
          </w:p>
        </w:tc>
        <w:tc>
          <w:tcPr/>
          <w:p>
            <w:pPr>
              <w:pStyle w:val="Compact"/>
            </w:pPr>
            <w:r>
              <w:t xml:space="preserve">Accelerating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AI/ML adoption in compliance</w:t>
            </w:r>
          </w:p>
        </w:tc>
        <w:tc>
          <w:tcPr/>
          <w:p>
            <w:pPr>
              <w:pStyle w:val="Compact"/>
            </w:pPr>
            <w:r>
              <w:t xml:space="preserve">Early majority phase</w:t>
            </w:r>
          </w:p>
        </w:tc>
      </w:tr>
    </w:tbl>
    <w:p>
      <w:pPr>
        <w:pStyle w:val="Heading2"/>
      </w:pPr>
      <w:bookmarkStart w:id="11" w:name="_6f6230f015f148f4f1023f8f0de915edb2a5390"/>
      <w:r>
        <w:t xml:space="preserve">2. Key Global Drivers</w:t>
      </w:r>
    </w:p>
    <w:p>
      <w:pPr>
        <w:pStyle w:val="Heading3"/>
      </w:pPr>
      <w:bookmarkStart w:id="12" w:name="_7f2579d99b6e49ddaddce1c3a28d8eff19c1db4"/>
      <w:r>
        <w:t xml:space="preserve">2.1 Regulatory Pressure</w:t>
      </w:r>
    </w:p>
    <w:p>
      <w:pPr>
        <w:pStyle w:val="Compact"/>
        <w:numPr>
          <w:ilvl w:val="0"/>
          <w:numId w:val="1001"/>
        </w:numPr>
      </w:pPr>
      <w:r>
        <w:t xml:space="preserve">FATF Recommendations (updated June 2026)</w:t>
      </w:r>
    </w:p>
    <w:p>
      <w:pPr>
        <w:pStyle w:val="Compact"/>
        <w:numPr>
          <w:ilvl w:val="0"/>
          <w:numId w:val="1001"/>
        </w:numPr>
      </w:pPr>
      <w:r>
        <w:t xml:space="preserve">AMLD6 (EU) — full enforcement</w:t>
      </w:r>
    </w:p>
    <w:p>
      <w:pPr>
        <w:pStyle w:val="Compact"/>
        <w:numPr>
          <w:ilvl w:val="0"/>
          <w:numId w:val="1001"/>
        </w:numPr>
      </w:pPr>
      <w:r>
        <w:t xml:space="preserve">US BSA/AML modernisation</w:t>
      </w:r>
    </w:p>
    <w:p>
      <w:pPr>
        <w:pStyle w:val="Compact"/>
        <w:numPr>
          <w:ilvl w:val="0"/>
          <w:numId w:val="1001"/>
        </w:numPr>
      </w:pPr>
      <w:r>
        <w:t xml:space="preserve">UK MLR 2017 + ECCTA</w:t>
      </w:r>
    </w:p>
    <w:p>
      <w:pPr>
        <w:pStyle w:val="Compact"/>
        <w:numPr>
          <w:ilvl w:val="0"/>
          <w:numId w:val="1001"/>
        </w:numPr>
      </w:pPr>
      <w:r>
        <w:t xml:space="preserve">Basel IV operational risk</w:t>
      </w:r>
    </w:p>
    <w:p>
      <w:pPr>
        <w:pStyle w:val="Heading3"/>
      </w:pPr>
      <w:bookmarkStart w:id="13" w:name="_2089d4b3ed4669924df1fd100c48db71ec76cc9"/>
      <w:r>
        <w:t xml:space="preserve">2.2 Technology Shift</w:t>
      </w:r>
    </w:p>
    <w:p>
      <w:pPr>
        <w:pStyle w:val="Compact"/>
        <w:numPr>
          <w:ilvl w:val="0"/>
          <w:numId w:val="1002"/>
        </w:numPr>
      </w:pPr>
      <w:r>
        <w:t xml:space="preserve">Migration from rules-based to decision-centric</w:t>
      </w:r>
    </w:p>
    <w:p>
      <w:pPr>
        <w:pStyle w:val="Compact"/>
        <w:numPr>
          <w:ilvl w:val="0"/>
          <w:numId w:val="1002"/>
        </w:numPr>
      </w:pPr>
      <w:r>
        <w:t xml:space="preserve">Demand for explainable AI (XAI)</w:t>
      </w:r>
    </w:p>
    <w:p>
      <w:pPr>
        <w:pStyle w:val="Compact"/>
        <w:numPr>
          <w:ilvl w:val="0"/>
          <w:numId w:val="1002"/>
        </w:numPr>
      </w:pPr>
      <w:r>
        <w:t xml:space="preserve">Audit-grade evidence as a first-class requirement</w:t>
      </w:r>
    </w:p>
    <w:p>
      <w:pPr>
        <w:pStyle w:val="Compact"/>
        <w:numPr>
          <w:ilvl w:val="0"/>
          <w:numId w:val="1002"/>
        </w:numPr>
      </w:pPr>
      <w:r>
        <w:t xml:space="preserve">Cloud-native, multi-tenant architecture</w:t>
      </w:r>
    </w:p>
    <w:p>
      <w:pPr>
        <w:pStyle w:val="Heading3"/>
      </w:pPr>
      <w:bookmarkStart w:id="14" w:name="_9f2834cfc23d6864a41c641719ac6b68a06f82b"/>
      <w:r>
        <w:t xml:space="preserve">2.3 Cost Pressure</w:t>
      </w:r>
    </w:p>
    <w:p>
      <w:pPr>
        <w:pStyle w:val="Compact"/>
        <w:numPr>
          <w:ilvl w:val="0"/>
          <w:numId w:val="1003"/>
        </w:numPr>
      </w:pPr>
      <w:r>
        <w:t xml:space="preserve">Average bank compliance cost: 3-5% of operating expense</w:t>
      </w:r>
    </w:p>
    <w:p>
      <w:pPr>
        <w:pStyle w:val="Compact"/>
        <w:numPr>
          <w:ilvl w:val="0"/>
          <w:numId w:val="1003"/>
        </w:numPr>
      </w:pPr>
      <w:r>
        <w:t xml:space="preserve">False-positive rates: 85-95% industry-wide</w:t>
      </w:r>
    </w:p>
    <w:p>
      <w:pPr>
        <w:pStyle w:val="Compact"/>
        <w:numPr>
          <w:ilvl w:val="0"/>
          <w:numId w:val="1003"/>
        </w:numPr>
      </w:pPr>
      <w:r>
        <w:t xml:space="preserve">Investigator time: 60-80% on data collection</w:t>
      </w:r>
    </w:p>
    <w:p>
      <w:pPr>
        <w:pStyle w:val="Heading2"/>
      </w:pPr>
      <w:bookmarkStart w:id="15" w:name="_9cb017f707a0bf535803e3932e1cf5aa0b39ce4"/>
      <w:r>
        <w:t xml:space="preserve">3. Regional Distribution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Region</w:t>
            </w:r>
          </w:p>
        </w:tc>
        <w:tc>
          <w:tcPr/>
          <w:p>
            <w:pPr>
              <w:pStyle w:val="Compact"/>
            </w:pPr>
            <w:r>
              <w:t xml:space="preserve">Share of Global Spend</w:t>
            </w:r>
          </w:p>
        </w:tc>
        <w:tc>
          <w:tcPr/>
          <w:p>
            <w:pPr>
              <w:pStyle w:val="Compact"/>
            </w:pPr>
            <w:r>
              <w:t xml:space="preserve">Growth 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North America</w:t>
            </w:r>
          </w:p>
        </w:tc>
        <w:tc>
          <w:tcPr/>
          <w:p>
            <w:pPr>
              <w:pStyle w:val="Compact"/>
            </w:pPr>
            <w:r>
              <w:t xml:space="preserve">38%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</w:tr>
      <w:tr>
        <w:tc>
          <w:tcPr/>
          <w:p>
            <w:pPr>
              <w:pStyle w:val="Compact"/>
            </w:pPr>
            <w:r>
              <w:t xml:space="preserve">Europe</w:t>
            </w:r>
          </w:p>
        </w:tc>
        <w:tc>
          <w:tcPr/>
          <w:p>
            <w:pPr>
              <w:pStyle w:val="Compact"/>
            </w:pPr>
            <w:r>
              <w:t xml:space="preserve">27%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Asia-Pacific</w:t>
            </w:r>
          </w:p>
        </w:tc>
        <w:tc>
          <w:tcPr/>
          <w:p>
            <w:pPr>
              <w:pStyle w:val="Compact"/>
            </w:pPr>
            <w:r>
              <w:t xml:space="preserve">22%</w:t>
            </w:r>
          </w:p>
        </w:tc>
        <w:tc>
          <w:tcPr/>
          <w:p>
            <w:pPr>
              <w:pStyle w:val="Compact"/>
            </w:pPr>
            <w: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MENA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  <w:tc>
          <w:tcPr/>
          <w:p>
            <w:pPr>
              <w:pStyle w:val="Compac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Latin America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  <w:tc>
          <w:tcPr/>
          <w:p>
            <w:pPr>
              <w:pStyle w:val="Compact"/>
            </w:pPr>
            <w:r>
              <w:t xml:space="preserve">12%</w:t>
            </w:r>
          </w:p>
        </w:tc>
      </w:tr>
    </w:tbl>
    <w:p>
      <w:pPr>
        <w:pStyle w:val="FirstParagraph"/>
      </w:pPr>
      <w:r>
        <w:t xml:space="preserve">MENA is the fastest-growing region, driven by Saudi Vision 2030 and UAE regulatory maturity.</w:t>
      </w:r>
    </w:p>
    <w:p>
      <w:pPr>
        <w:pStyle w:val="Heading2"/>
      </w:pPr>
      <w:bookmarkStart w:id="16" w:name="_a6827abcb654b865a450160ad965e297e756229"/>
      <w:r>
        <w:t xml:space="preserve">4. Market Evolution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Era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2010-2015</w:t>
            </w:r>
          </w:p>
        </w:tc>
        <w:tc>
          <w:tcPr/>
          <w:p>
            <w:pPr>
              <w:pStyle w:val="Compact"/>
            </w:pPr>
            <w:r>
              <w:t xml:space="preserve">Rules-based AML, manual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2016-2020</w:t>
            </w:r>
          </w:p>
        </w:tc>
        <w:tc>
          <w:tcPr/>
          <w:p>
            <w:pPr>
              <w:pStyle w:val="Compact"/>
            </w:pPr>
            <w:r>
              <w:t xml:space="preserve">Screening automation, first AI models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2021-2023</w:t>
            </w:r>
          </w:p>
        </w:tc>
        <w:tc>
          <w:tcPr/>
          <w:p>
            <w:pPr>
              <w:pStyle w:val="Compact"/>
            </w:pPr>
            <w:r>
              <w:t xml:space="preserve">Cloud-native platforms, graph intelligence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2024-2026</w:t>
            </w:r>
          </w:p>
        </w:tc>
        <w:tc>
          <w:tcPr/>
          <w:p>
            <w:pPr>
              <w:pStyle w:val="Compact"/>
            </w:pPr>
            <w:r>
              <w:t xml:space="preserve">Decision operating systems, explainable AI, audit-grade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2027-2030</w:t>
            </w:r>
          </w:p>
        </w:tc>
        <w:tc>
          <w:tcPr/>
          <w:p>
            <w:pPr>
              <w:pStyle w:val="Compact"/>
            </w:pPr>
            <w:r>
              <w:t xml:space="preserve">Autonomous compliance (supervised), cross-border intelligence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Sources: FATF, industry analyst triangulation, SAMA publications, Fintech Saudi reports.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Market Intelligence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Global Market Context</dc:title>
  <dc:creator>HISN Platform</dc:creator>
  <cp:keywords>HISN, FCDOS, financial crime, decision operating system</cp:keywords>
  <dcterms:created xsi:type="dcterms:W3CDTF">2026-10-14T09:26:24Z</dcterms:created>
  <dcterms:modified xsi:type="dcterms:W3CDTF">2026-10-14T09:26:24Z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