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02_Local_Competitors</w:t>
      </w:r>
    </w:p>
    <w:p>
      <w:pPr>
        <w:pStyle w:val="Author"/>
      </w:pPr>
      <w:r>
        <w:t xml:space="preserve">HISN Platform</w:t>
      </w:r>
    </w:p>
    <w:p>
      <w:pPr>
        <w:pStyle w:val="Heading1"/>
      </w:pPr>
      <w:bookmarkStart w:id="9" w:name="_4202cf1e39ee6763f534db619fd8ed843af65cd"/>
      <w:r>
        <w:t xml:space="preserve">LOCAL COMPETITORS (KSA)</w:t>
      </w:r>
    </w:p>
    <w:p>
      <w:pPr>
        <w:pStyle w:val="Heading2"/>
      </w:pPr>
      <w:bookmarkStart w:id="10" w:name="_094080e249f75707f6d45b1d26b0c535a3cbc4c"/>
      <w:r>
        <w:t xml:space="preserve">1. Focal by Mozn</w:t>
      </w:r>
    </w:p>
    <w:p>
      <w:pPr>
        <w:pStyle w:val="FirstParagraph"/>
      </w:pPr>
      <w:r>
        <w:rPr>
          <w:b/>
          <w:bCs/>
        </w:rPr>
        <w:t xml:space="preserve">Overview:</w:t>
      </w:r>
      <w:r>
        <w:t xml:space="preserve"> </w:t>
      </w:r>
      <w:r>
        <w:t xml:space="preserve">- Backed by Saudi PIF-linked investors</w:t>
      </w:r>
      <w:r>
        <w:t xml:space="preserve"> </w:t>
      </w:r>
      <w:r>
        <w:t xml:space="preserve">- Regional AML/screening leader</w:t>
      </w:r>
      <w:r>
        <w:t xml:space="preserve"> </w:t>
      </w:r>
      <w:r>
        <w:t xml:space="preserve">- Strong SMB + mid-market penetration</w:t>
      </w:r>
      <w:r>
        <w:t xml:space="preserve"> </w:t>
      </w:r>
      <w:r>
        <w:t xml:space="preserve">- Significant brand presence in FinTech</w:t>
      </w:r>
    </w:p>
    <w:p>
      <w:pPr>
        <w:pStyle w:val="BodyText"/>
      </w:pPr>
      <w:r>
        <w:rPr>
          <w:b/>
          <w:bCs/>
        </w:rPr>
        <w:t xml:space="preserve">Strengths:</w:t>
      </w:r>
      <w:r>
        <w:t xml:space="preserve"> </w:t>
      </w:r>
      <w:r>
        <w:t xml:space="preserve">- Customer base (FinTech scale)</w:t>
      </w:r>
      <w:r>
        <w:t xml:space="preserve"> </w:t>
      </w:r>
      <w:r>
        <w:t xml:space="preserve">- Arabic/GCC list coverage</w:t>
      </w:r>
      <w:r>
        <w:t xml:space="preserve"> </w:t>
      </w:r>
      <w:r>
        <w:t xml:space="preserve">- Marketing execution</w:t>
      </w:r>
      <w:r>
        <w:t xml:space="preserve"> </w:t>
      </w:r>
      <w:r>
        <w:t xml:space="preserve">- PIF-backed credibility</w:t>
      </w:r>
    </w:p>
    <w:p>
      <w:pPr>
        <w:pStyle w:val="BodyText"/>
      </w:pPr>
      <w:r>
        <w:rPr>
          <w:b/>
          <w:bCs/>
        </w:rPr>
        <w:t xml:space="preserve">Gaps (vs HISN):</w:t>
      </w:r>
      <w:r>
        <w:t xml:space="preserve"> </w:t>
      </w:r>
      <w:r>
        <w:t xml:space="preserve">- Screening-centric, not decision-centric</w:t>
      </w:r>
      <w:r>
        <w:t xml:space="preserve"> </w:t>
      </w:r>
      <w:r>
        <w:t xml:space="preserve">- Limited enterprise decision lineage</w:t>
      </w:r>
      <w:r>
        <w:t xml:space="preserve"> </w:t>
      </w:r>
      <w:r>
        <w:t xml:space="preserve">- Less focused on audit-grade evidence</w:t>
      </w:r>
      <w:r>
        <w:t xml:space="preserve"> </w:t>
      </w:r>
      <w:r>
        <w:t xml:space="preserve">- Positioned as SaaS AML, not FCDOS</w:t>
      </w:r>
    </w:p>
    <w:p>
      <w:pPr>
        <w:pStyle w:val="BodyText"/>
      </w:pPr>
      <w:r>
        <w:rPr>
          <w:b/>
          <w:bCs/>
        </w:rPr>
        <w:t xml:space="preserve">HISN differentiation:</w:t>
      </w:r>
      <w:r>
        <w:t xml:space="preserve"> </w:t>
      </w:r>
      <w:r>
        <w:t xml:space="preserve">Canonical decision runtime vs. screening tool.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1" w:name="_38151ca0af451c82c821eef77fd03f22e44745c"/>
      <w:r>
        <w:t xml:space="preserve">2. Dal / Ayn</w:t>
      </w:r>
    </w:p>
    <w:p>
      <w:pPr>
        <w:pStyle w:val="FirstParagraph"/>
      </w:pPr>
      <w:r>
        <w:rPr>
          <w:b/>
          <w:bCs/>
        </w:rPr>
        <w:t xml:space="preserve">Overview:</w:t>
      </w:r>
      <w:r>
        <w:t xml:space="preserve"> </w:t>
      </w:r>
      <w:r>
        <w:t xml:space="preserve">- CMA-focused compliance platform</w:t>
      </w:r>
      <w:r>
        <w:t xml:space="preserve"> </w:t>
      </w:r>
      <w:r>
        <w:t xml:space="preserve">- Founded by former regulators</w:t>
      </w:r>
      <w:r>
        <w:t xml:space="preserve"> </w:t>
      </w:r>
      <w:r>
        <w:t xml:space="preserve">- Integration with Nafith, Muqassa</w:t>
      </w:r>
    </w:p>
    <w:p>
      <w:pPr>
        <w:pStyle w:val="BodyText"/>
      </w:pPr>
      <w:r>
        <w:rPr>
          <w:b/>
          <w:bCs/>
        </w:rPr>
        <w:t xml:space="preserve">Strengths:</w:t>
      </w:r>
      <w:r>
        <w:t xml:space="preserve"> </w:t>
      </w:r>
      <w:r>
        <w:t xml:space="preserve">- Deep CMA specialisation</w:t>
      </w:r>
      <w:r>
        <w:t xml:space="preserve"> </w:t>
      </w:r>
      <w:r>
        <w:t xml:space="preserve">- Regulatory credibility</w:t>
      </w:r>
      <w:r>
        <w:t xml:space="preserve"> </w:t>
      </w:r>
      <w:r>
        <w:t xml:space="preserve">- Capital markets focus</w:t>
      </w:r>
    </w:p>
    <w:p>
      <w:pPr>
        <w:pStyle w:val="BodyText"/>
      </w:pPr>
      <w:r>
        <w:rPr>
          <w:b/>
          <w:bCs/>
        </w:rPr>
        <w:t xml:space="preserve">Gaps (vs HISN):</w:t>
      </w:r>
      <w:r>
        <w:t xml:space="preserve"> </w:t>
      </w:r>
      <w:r>
        <w:t xml:space="preserve">- Narrow CMA scope</w:t>
      </w:r>
      <w:r>
        <w:t xml:space="preserve"> </w:t>
      </w:r>
      <w:r>
        <w:t xml:space="preserve">- Does not address banking/insurance/PSP</w:t>
      </w:r>
      <w:r>
        <w:t xml:space="preserve"> </w:t>
      </w:r>
      <w:r>
        <w:t xml:space="preserve">- No unified decision infrastructure</w:t>
      </w:r>
    </w:p>
    <w:p>
      <w:pPr>
        <w:pStyle w:val="BodyText"/>
      </w:pPr>
      <w:r>
        <w:rPr>
          <w:b/>
          <w:bCs/>
        </w:rPr>
        <w:t xml:space="preserve">HISN differentiation:</w:t>
      </w:r>
      <w:r>
        <w:t xml:space="preserve"> </w:t>
      </w:r>
      <w:r>
        <w:t xml:space="preserve">Enterprise-wide FCDOS vs. CMA compliance tool.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2" w:name="_55be7495799f766726cb1c96bf05cb59fa0d944"/>
      <w:r>
        <w:t xml:space="preserve">3. Other Local Players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Player</w:t>
            </w:r>
          </w:p>
        </w:tc>
        <w:tc>
          <w:tcPr/>
          <w:p>
            <w:pPr>
              <w:pStyle w:val="Compact"/>
            </w:pPr>
            <w:r>
              <w:t xml:space="preserve">Focus</w:t>
            </w:r>
          </w:p>
        </w:tc>
        <w:tc>
          <w:tcPr/>
          <w:p>
            <w:pPr>
              <w:pStyle w:val="Compact"/>
            </w:pPr>
            <w:r>
              <w:t xml:space="preserve">Notes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Various SI-built</w:t>
            </w:r>
          </w:p>
        </w:tc>
        <w:tc>
          <w:tcPr/>
          <w:p>
            <w:pPr>
              <w:pStyle w:val="Compact"/>
            </w:pPr>
            <w:r>
              <w:t xml:space="preserve">Custom AML</w:t>
            </w:r>
          </w:p>
        </w:tc>
        <w:tc>
          <w:tcPr/>
          <w:p>
            <w:pPr>
              <w:pStyle w:val="Compact"/>
            </w:pPr>
            <w:r>
              <w:t xml:space="preserve">Not productised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Bank-internal builds</w:t>
            </w:r>
          </w:p>
        </w:tc>
        <w:tc>
          <w:tcPr/>
          <w:p>
            <w:pPr>
              <w:pStyle w:val="Compact"/>
            </w:pPr>
            <w:r>
              <w:t xml:space="preserve">Proprietary</w:t>
            </w:r>
          </w:p>
        </w:tc>
        <w:tc>
          <w:tcPr/>
          <w:p>
            <w:pPr>
              <w:pStyle w:val="Compact"/>
            </w:pPr>
            <w:r>
              <w:t xml:space="preserve">High TCO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Regional (UAE)</w:t>
            </w:r>
          </w:p>
        </w:tc>
        <w:tc>
          <w:tcPr/>
          <w:p>
            <w:pPr>
              <w:pStyle w:val="Compact"/>
            </w:pPr>
            <w:r>
              <w:t xml:space="preserve">Diversified</w:t>
            </w:r>
          </w:p>
        </w:tc>
        <w:tc>
          <w:tcPr/>
          <w:p>
            <w:pPr>
              <w:pStyle w:val="Compact"/>
            </w:pPr>
            <w:r>
              <w:t xml:space="preserve">Not KSA-native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Based on public information and market intelligence.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Market Intelligence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02 Local Competitors</dc:title>
  <dc:creator>HISN Platform</dc:creator>
  <cp:keywords>HISN, FCDOS, financial crime, decision operating system</cp:keywords>
  <dcterms:created xsi:type="dcterms:W3CDTF">2026-10-14T09:26:25Z</dcterms:created>
  <dcterms:modified xsi:type="dcterms:W3CDTF">2026-10-14T09:26:25Z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