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03_Benchmark_Analysis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56f1f0410e56fe2d453d6e046be16ad15f8dc8"/>
      <w:r>
        <w:t xml:space="preserve">PRICING BENCHMARK ANALYSIS</w:t>
      </w:r>
    </w:p>
    <w:p>
      <w:pPr>
        <w:pStyle w:val="Heading2"/>
      </w:pPr>
      <w:bookmarkStart w:id="10" w:name="_4a1605508b3e3562c104d7a407cb00830639c3b"/>
      <w:r>
        <w:t xml:space="preserve">1. Market Price Points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Typical ACV (USD)</w:t>
            </w:r>
          </w:p>
        </w:tc>
        <w:tc>
          <w:tcPr/>
          <w:p>
            <w:pPr>
              <w:pStyle w:val="Compact"/>
            </w:pPr>
            <w:r>
              <w:t xml:space="preserve">SAR Equivalent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 Actimize</w:t>
            </w:r>
          </w:p>
        </w:tc>
        <w:tc>
          <w:tcPr/>
          <w:p>
            <w:pPr>
              <w:pStyle w:val="Compact"/>
            </w:pPr>
            <w:r>
              <w:t xml:space="preserve">Enterprise AML</w:t>
            </w:r>
          </w:p>
        </w:tc>
        <w:tc>
          <w:tcPr/>
          <w:p>
            <w:pPr>
              <w:pStyle w:val="Compact"/>
            </w:pPr>
            <w:r>
              <w:t xml:space="preserve">1M – 5M</w:t>
            </w:r>
          </w:p>
        </w:tc>
        <w:tc>
          <w:tcPr/>
          <w:p>
            <w:pPr>
              <w:pStyle w:val="Compact"/>
            </w:pPr>
            <w:r>
              <w:t xml:space="preserve">3.75M – 18.75M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 AML</w:t>
            </w:r>
          </w:p>
        </w:tc>
        <w:tc>
          <w:tcPr/>
          <w:p>
            <w:pPr>
              <w:pStyle w:val="Compact"/>
            </w:pPr>
            <w:r>
              <w:t xml:space="preserve">Enterprise AML</w:t>
            </w:r>
          </w:p>
        </w:tc>
        <w:tc>
          <w:tcPr/>
          <w:p>
            <w:pPr>
              <w:pStyle w:val="Compact"/>
            </w:pPr>
            <w:r>
              <w:t xml:space="preserve">800K – 3M</w:t>
            </w:r>
          </w:p>
        </w:tc>
        <w:tc>
          <w:tcPr/>
          <w:p>
            <w:pPr>
              <w:pStyle w:val="Compact"/>
            </w:pPr>
            <w:r>
              <w:t xml:space="preserve">3M – 11.25M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 FCCM</w:t>
            </w:r>
          </w:p>
        </w:tc>
        <w:tc>
          <w:tcPr/>
          <w:p>
            <w:pPr>
              <w:pStyle w:val="Compact"/>
            </w:pPr>
            <w:r>
              <w:t xml:space="preserve">Enterprise AML</w:t>
            </w:r>
          </w:p>
        </w:tc>
        <w:tc>
          <w:tcPr/>
          <w:p>
            <w:pPr>
              <w:pStyle w:val="Compact"/>
            </w:pPr>
            <w:r>
              <w:t xml:space="preserve">500K – 2M</w:t>
            </w:r>
          </w:p>
        </w:tc>
        <w:tc>
          <w:tcPr/>
          <w:p>
            <w:pPr>
              <w:pStyle w:val="Compact"/>
            </w:pPr>
            <w:r>
              <w:t xml:space="preserve">1.88M – 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Focal (Mozn)</w:t>
            </w:r>
          </w:p>
        </w:tc>
        <w:tc>
          <w:tcPr/>
          <w:p>
            <w:pPr>
              <w:pStyle w:val="Compact"/>
            </w:pPr>
            <w:r>
              <w:t xml:space="preserve">Mid-market AML</w:t>
            </w:r>
          </w:p>
        </w:tc>
        <w:tc>
          <w:tcPr/>
          <w:p>
            <w:pPr>
              <w:pStyle w:val="Compact"/>
            </w:pPr>
            <w:r>
              <w:t xml:space="preserve">50K – 500K</w:t>
            </w:r>
          </w:p>
        </w:tc>
        <w:tc>
          <w:tcPr/>
          <w:p>
            <w:pPr>
              <w:pStyle w:val="Compact"/>
            </w:pPr>
            <w:r>
              <w:t xml:space="preserve">187K – 1.88M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Dal / Ayn</w:t>
            </w:r>
          </w:p>
        </w:tc>
        <w:tc>
          <w:tcPr/>
          <w:p>
            <w:pPr>
              <w:pStyle w:val="Compact"/>
            </w:pPr>
            <w:r>
              <w:t xml:space="preserve">CMA Compliance</w:t>
            </w:r>
          </w:p>
        </w:tc>
        <w:tc>
          <w:tcPr/>
          <w:p>
            <w:pPr>
              <w:pStyle w:val="Compact"/>
            </w:pPr>
            <w:r>
              <w:t xml:space="preserve">100K – 400K</w:t>
            </w:r>
          </w:p>
        </w:tc>
        <w:tc>
          <w:tcPr/>
          <w:p>
            <w:pPr>
              <w:pStyle w:val="Compact"/>
            </w:pPr>
            <w:r>
              <w:t xml:space="preserve">375K – 1.5M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500K – 3M</w:t>
            </w:r>
          </w:p>
        </w:tc>
        <w:tc>
          <w:tcPr/>
          <w:p>
            <w:pPr>
              <w:pStyle w:val="Compact"/>
            </w:pPr>
            <w:r>
              <w:t xml:space="preserve">1.88M – 11.25M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Graph</w:t>
            </w:r>
          </w:p>
        </w:tc>
        <w:tc>
          <w:tcPr/>
          <w:p>
            <w:pPr>
              <w:pStyle w:val="Compact"/>
            </w:pPr>
            <w:r>
              <w:t xml:space="preserve">300K – 2M</w:t>
            </w:r>
          </w:p>
        </w:tc>
        <w:tc>
          <w:tcPr/>
          <w:p>
            <w:pPr>
              <w:pStyle w:val="Compact"/>
            </w:pPr>
            <w:r>
              <w:t xml:space="preserve">1.13M – 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50K – 500K</w:t>
            </w:r>
          </w:p>
        </w:tc>
        <w:tc>
          <w:tcPr/>
          <w:p>
            <w:pPr>
              <w:pStyle w:val="Compact"/>
            </w:pPr>
            <w:r>
              <w:t xml:space="preserve">187K – 1.88M</w:t>
            </w:r>
          </w:p>
        </w:tc>
      </w:tr>
    </w:tbl>
    <w:p>
      <w:pPr>
        <w:pStyle w:val="Heading2"/>
      </w:pPr>
      <w:bookmarkStart w:id="11" w:name="_04a368780a43e644e44bfaf011a54fb167fc711"/>
      <w:r>
        <w:t xml:space="preserve">2. HISN Target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HISN ACV (SAR)</w:t>
            </w:r>
          </w:p>
        </w:tc>
        <w:tc>
          <w:tcPr/>
          <w:p>
            <w:pPr>
              <w:pStyle w:val="Compact"/>
            </w:pPr>
            <w:r>
              <w:t xml:space="preserve">Market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500K – 800K</w:t>
            </w:r>
          </w:p>
        </w:tc>
        <w:tc>
          <w:tcPr/>
          <w:p>
            <w:pPr>
              <w:pStyle w:val="Compact"/>
            </w:pPr>
            <w:r>
              <w:t xml:space="preserve">Mid-market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800K – 1.5M</w:t>
            </w:r>
          </w:p>
        </w:tc>
        <w:tc>
          <w:tcPr/>
          <w:p>
            <w:pPr>
              <w:pStyle w:val="Compact"/>
            </w:pPr>
            <w:r>
              <w:t xml:space="preserve">Mid-market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1.0M – 2M</w:t>
            </w:r>
          </w:p>
        </w:tc>
        <w:tc>
          <w:tcPr/>
          <w:p>
            <w:pPr>
              <w:pStyle w:val="Compact"/>
            </w:pPr>
            <w:r>
              <w:t xml:space="preserve">Mid-market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1.2M – 2M</w:t>
            </w:r>
          </w:p>
        </w:tc>
        <w:tc>
          <w:tcPr/>
          <w:p>
            <w:pPr>
              <w:pStyle w:val="Compact"/>
            </w:pPr>
            <w:r>
              <w:t xml:space="preserve">Mid-market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 Bank</w:t>
            </w:r>
          </w:p>
        </w:tc>
        <w:tc>
          <w:tcPr/>
          <w:p>
            <w:pPr>
              <w:pStyle w:val="Compact"/>
            </w:pPr>
            <w:r>
              <w:t xml:space="preserve">2M – 3M</w:t>
            </w:r>
          </w:p>
        </w:tc>
        <w:tc>
          <w:tcPr/>
          <w:p>
            <w:pPr>
              <w:pStyle w:val="Compact"/>
            </w:pPr>
            <w:r>
              <w:t xml:space="preserve">Premium-mid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</w:t>
            </w:r>
          </w:p>
        </w:tc>
        <w:tc>
          <w:tcPr/>
          <w:p>
            <w:pPr>
              <w:pStyle w:val="Compact"/>
            </w:pPr>
            <w:r>
              <w:t xml:space="preserve">3M – 5M</w:t>
            </w:r>
          </w:p>
        </w:tc>
        <w:tc>
          <w:tcPr/>
          <w:p>
            <w:pPr>
              <w:pStyle w:val="Compact"/>
            </w:pPr>
            <w:r>
              <w:t xml:space="preserve">Premium</w:t>
            </w:r>
          </w:p>
        </w:tc>
      </w:tr>
    </w:tbl>
    <w:p>
      <w:pPr>
        <w:pStyle w:val="Heading2"/>
      </w:pPr>
      <w:bookmarkStart w:id="12" w:name="_7ea3e3043f0ac30f3f9dc213411ca46bff1f585"/>
      <w:r>
        <w:t xml:space="preserve">3. Discount Policy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Max Discount</w:t>
            </w:r>
          </w:p>
        </w:tc>
        <w:tc>
          <w:tcPr/>
          <w:p>
            <w:pPr>
              <w:pStyle w:val="Compac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t xml:space="preserve">Auto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3-year prepay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Sales VP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Multi-year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Sales VP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Strategic early adopter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 partner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</w:tbl>
    <w:p>
      <w:pPr>
        <w:pStyle w:val="Heading2"/>
      </w:pPr>
      <w:bookmarkStart w:id="13" w:name="_3a4a83455f186b4279b8478cb05dc1635f9f157"/>
      <w:r>
        <w:t xml:space="preserve">4. Price Sensitivity</w:t>
      </w:r>
    </w:p>
    <w:p>
      <w:pPr>
        <w:pStyle w:val="FirstParagraph"/>
      </w:pPr>
      <w:r>
        <w:t xml:space="preserve">Expected elasticity:</w:t>
      </w:r>
      <w:r>
        <w:t xml:space="preserve"> </w:t>
      </w:r>
      <w:r>
        <w:t xml:space="preserve">- Tier-1 banks: LOW (value-driven)</w:t>
      </w:r>
      <w:r>
        <w:t xml:space="preserve"> </w:t>
      </w:r>
      <w:r>
        <w:t xml:space="preserve">- Mid banks: MEDIUM</w:t>
      </w:r>
      <w:r>
        <w:t xml:space="preserve"> </w:t>
      </w:r>
      <w:r>
        <w:t xml:space="preserve">- Insurance: MEDIUM</w:t>
      </w:r>
      <w:r>
        <w:t xml:space="preserve"> </w:t>
      </w:r>
      <w:r>
        <w:t xml:space="preserve">- FinTech: HIGH</w:t>
      </w:r>
      <w:r>
        <w:t xml:space="preserve"> </w:t>
      </w:r>
      <w:r>
        <w:t xml:space="preserve">- PSP: HIGH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Benchmarks from public pricing, RFP data, industry triangulation.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Benchmark Analysis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