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03_Global_Competitors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a0877da4c87b51dd4dd682e9b61b9e8a200eac1"/>
      <w:r>
        <w:t xml:space="preserve">GLOBAL COMPETITORS</w:t>
      </w:r>
    </w:p>
    <w:p>
      <w:pPr>
        <w:pStyle w:val="Heading2"/>
      </w:pPr>
      <w:bookmarkStart w:id="10" w:name="_325a1fc99d8d5857ae7f2f1d035f044caa58e42"/>
      <w:r>
        <w:t xml:space="preserve">1. NICE Actimize</w:t>
      </w:r>
    </w:p>
    <w:p>
      <w:pPr>
        <w:pStyle w:val="Compact"/>
        <w:numPr>
          <w:ilvl w:val="0"/>
          <w:numId w:val="1001"/>
        </w:numPr>
      </w:pPr>
      <w:r>
        <w:t xml:space="preserve">Legacy AML/fraud leader</w:t>
      </w:r>
    </w:p>
    <w:p>
      <w:pPr>
        <w:pStyle w:val="Compact"/>
        <w:numPr>
          <w:ilvl w:val="0"/>
          <w:numId w:val="1001"/>
        </w:numPr>
      </w:pPr>
      <w:r>
        <w:t xml:space="preserve">Enterprise deployments (Tier-1 banks)</w:t>
      </w:r>
    </w:p>
    <w:p>
      <w:pPr>
        <w:pStyle w:val="Compact"/>
        <w:numPr>
          <w:ilvl w:val="0"/>
          <w:numId w:val="1001"/>
        </w:numPr>
      </w:pPr>
      <w:r>
        <w:t xml:space="preserve">Complex, slow deployment cycles</w:t>
      </w:r>
    </w:p>
    <w:p>
      <w:pPr>
        <w:pStyle w:val="Compact"/>
        <w:numPr>
          <w:ilvl w:val="0"/>
          <w:numId w:val="1001"/>
        </w:numPr>
      </w:pPr>
      <w:r>
        <w:t xml:space="preserve">High TCO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Gap:</w:t>
      </w:r>
      <w:r>
        <w:t xml:space="preserve"> </w:t>
      </w:r>
      <w:r>
        <w:t xml:space="preserve">Not decision-centric; audit lineage fragmented.</w:t>
      </w:r>
    </w:p>
    <w:p>
      <w:pPr>
        <w:pStyle w:val="Heading2"/>
      </w:pPr>
      <w:bookmarkStart w:id="11" w:name="_c146a5d993cdebe7fc16cd6206abd80ad7f0538"/>
      <w:r>
        <w:t xml:space="preserve">2. SAS AML</w:t>
      </w:r>
    </w:p>
    <w:p>
      <w:pPr>
        <w:pStyle w:val="Compact"/>
        <w:numPr>
          <w:ilvl w:val="0"/>
          <w:numId w:val="1002"/>
        </w:numPr>
      </w:pPr>
      <w:r>
        <w:t xml:space="preserve">Advanced analytics heritage</w:t>
      </w:r>
    </w:p>
    <w:p>
      <w:pPr>
        <w:pStyle w:val="Compact"/>
        <w:numPr>
          <w:ilvl w:val="0"/>
          <w:numId w:val="1002"/>
        </w:numPr>
      </w:pPr>
      <w:r>
        <w:t xml:space="preserve">Strong in Tier-1 banks</w:t>
      </w:r>
    </w:p>
    <w:p>
      <w:pPr>
        <w:pStyle w:val="Compact"/>
        <w:numPr>
          <w:ilvl w:val="0"/>
          <w:numId w:val="1002"/>
        </w:numPr>
      </w:pPr>
      <w:r>
        <w:t xml:space="preserve">Requires large team to operate</w:t>
      </w:r>
    </w:p>
    <w:p>
      <w:pPr>
        <w:pStyle w:val="Compact"/>
        <w:numPr>
          <w:ilvl w:val="0"/>
          <w:numId w:val="1002"/>
        </w:numPr>
      </w:pPr>
      <w:r>
        <w:t xml:space="preserve">High implementation cost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Gap:</w:t>
      </w:r>
      <w:r>
        <w:t xml:space="preserve"> </w:t>
      </w:r>
      <w:r>
        <w:t xml:space="preserve">Heavy; not cloud-native by default.</w:t>
      </w:r>
    </w:p>
    <w:p>
      <w:pPr>
        <w:pStyle w:val="Heading2"/>
      </w:pPr>
      <w:bookmarkStart w:id="12" w:name="_1c6e20136b961a544e1b6bf64f6885c98400b3c"/>
      <w:r>
        <w:t xml:space="preserve">3. Oracle FCCM</w:t>
      </w:r>
    </w:p>
    <w:p>
      <w:pPr>
        <w:pStyle w:val="Compact"/>
        <w:numPr>
          <w:ilvl w:val="0"/>
          <w:numId w:val="1003"/>
        </w:numPr>
      </w:pPr>
      <w:r>
        <w:t xml:space="preserve">Part of Oracle Financial Services</w:t>
      </w:r>
    </w:p>
    <w:p>
      <w:pPr>
        <w:pStyle w:val="Compact"/>
        <w:numPr>
          <w:ilvl w:val="0"/>
          <w:numId w:val="1003"/>
        </w:numPr>
      </w:pPr>
      <w:r>
        <w:t xml:space="preserve">Enterprise-grade compliance</w:t>
      </w:r>
    </w:p>
    <w:p>
      <w:pPr>
        <w:pStyle w:val="Compact"/>
        <w:numPr>
          <w:ilvl w:val="0"/>
          <w:numId w:val="1003"/>
        </w:numPr>
      </w:pPr>
      <w:r>
        <w:t xml:space="preserve">Bundled with Oracle stack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Gap:</w:t>
      </w:r>
      <w:r>
        <w:t xml:space="preserve"> </w:t>
      </w:r>
      <w:r>
        <w:t xml:space="preserve">Legacy architecture; slow innovation cycle.</w:t>
      </w:r>
    </w:p>
    <w:p>
      <w:pPr>
        <w:pStyle w:val="Heading2"/>
      </w:pPr>
      <w:bookmarkStart w:id="13" w:name="_2c825a98057088c1af0543ad8be706219984297"/>
      <w:r>
        <w:t xml:space="preserve">4. Moody’s KYC</w:t>
      </w:r>
    </w:p>
    <w:p>
      <w:pPr>
        <w:pStyle w:val="Compact"/>
        <w:numPr>
          <w:ilvl w:val="0"/>
          <w:numId w:val="1004"/>
        </w:numPr>
      </w:pPr>
      <w:r>
        <w:t xml:space="preserve">Unmatched global data</w:t>
      </w:r>
    </w:p>
    <w:p>
      <w:pPr>
        <w:pStyle w:val="Compact"/>
        <w:numPr>
          <w:ilvl w:val="0"/>
          <w:numId w:val="1004"/>
        </w:numPr>
      </w:pPr>
      <w:r>
        <w:t xml:space="preserve">KYC/screening authority</w:t>
      </w:r>
    </w:p>
    <w:p>
      <w:pPr>
        <w:pStyle w:val="Compact"/>
        <w:numPr>
          <w:ilvl w:val="0"/>
          <w:numId w:val="1004"/>
        </w:numPr>
      </w:pPr>
      <w:r>
        <w:t xml:space="preserve">Premium pricing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Gap:</w:t>
      </w:r>
      <w:r>
        <w:t xml:space="preserve"> </w:t>
      </w:r>
      <w:r>
        <w:t xml:space="preserve">Black-box; difficult local customisation.</w:t>
      </w:r>
    </w:p>
    <w:p>
      <w:pPr>
        <w:pStyle w:val="Heading2"/>
      </w:pPr>
      <w:bookmarkStart w:id="14" w:name="_feedzai"/>
      <w:r>
        <w:t xml:space="preserve">5. Feedzai</w:t>
      </w:r>
    </w:p>
    <w:p>
      <w:pPr>
        <w:pStyle w:val="Compact"/>
        <w:numPr>
          <w:ilvl w:val="0"/>
          <w:numId w:val="1005"/>
        </w:numPr>
      </w:pPr>
      <w:r>
        <w:t xml:space="preserve">Fraud AI leader</w:t>
      </w:r>
    </w:p>
    <w:p>
      <w:pPr>
        <w:pStyle w:val="Compact"/>
        <w:numPr>
          <w:ilvl w:val="0"/>
          <w:numId w:val="1005"/>
        </w:numPr>
      </w:pPr>
      <w:r>
        <w:t xml:space="preserve">Unicorn valuation</w:t>
      </w:r>
    </w:p>
    <w:p>
      <w:pPr>
        <w:pStyle w:val="Compact"/>
        <w:numPr>
          <w:ilvl w:val="0"/>
          <w:numId w:val="1005"/>
        </w:numPr>
      </w:pPr>
      <w:r>
        <w:t xml:space="preserve">Strong US/EU presence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Gap:</w:t>
      </w:r>
      <w:r>
        <w:t xml:space="preserve"> </w:t>
      </w:r>
      <w:r>
        <w:t xml:space="preserve">Fraud-focused; not AML/KYC decision spine.</w:t>
      </w:r>
    </w:p>
    <w:p>
      <w:pPr>
        <w:pStyle w:val="Heading2"/>
      </w:pPr>
      <w:bookmarkStart w:id="15" w:name="_quantexa"/>
      <w:r>
        <w:t xml:space="preserve">6. Quantexa</w:t>
      </w:r>
    </w:p>
    <w:p>
      <w:pPr>
        <w:pStyle w:val="Compact"/>
        <w:numPr>
          <w:ilvl w:val="0"/>
          <w:numId w:val="1006"/>
        </w:numPr>
      </w:pPr>
      <w:r>
        <w:t xml:space="preserve">Graph intelligence pioneer</w:t>
      </w:r>
    </w:p>
    <w:p>
      <w:pPr>
        <w:pStyle w:val="Compact"/>
        <w:numPr>
          <w:ilvl w:val="0"/>
          <w:numId w:val="1006"/>
        </w:numPr>
      </w:pPr>
      <w:r>
        <w:t xml:space="preserve">Network analytics leader</w:t>
      </w:r>
    </w:p>
    <w:p>
      <w:pPr>
        <w:pStyle w:val="Compact"/>
        <w:numPr>
          <w:ilvl w:val="0"/>
          <w:numId w:val="1006"/>
        </w:numPr>
      </w:pPr>
      <w:r>
        <w:t xml:space="preserve">Strong in banking/fraud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Gap:</w:t>
      </w:r>
      <w:r>
        <w:t xml:space="preserve"> </w:t>
      </w:r>
      <w:r>
        <w:t xml:space="preserve">Intelligence layer only; not decision authority.</w:t>
      </w:r>
    </w:p>
    <w:p>
      <w:pPr>
        <w:pStyle w:val="Heading2"/>
      </w:pPr>
      <w:bookmarkStart w:id="16" w:name="_complyadvantage"/>
      <w:r>
        <w:t xml:space="preserve">7. ComplyAdvantage</w:t>
      </w:r>
    </w:p>
    <w:p>
      <w:pPr>
        <w:pStyle w:val="Compact"/>
        <w:numPr>
          <w:ilvl w:val="0"/>
          <w:numId w:val="1007"/>
        </w:numPr>
      </w:pPr>
      <w:r>
        <w:t xml:space="preserve">API-first screening</w:t>
      </w:r>
    </w:p>
    <w:p>
      <w:pPr>
        <w:pStyle w:val="Compact"/>
        <w:numPr>
          <w:ilvl w:val="0"/>
          <w:numId w:val="1007"/>
        </w:numPr>
      </w:pPr>
      <w:r>
        <w:t xml:space="preserve">Strong FinTech adoption</w:t>
      </w:r>
    </w:p>
    <w:p>
      <w:pPr>
        <w:pStyle w:val="Compact"/>
        <w:numPr>
          <w:ilvl w:val="0"/>
          <w:numId w:val="1007"/>
        </w:numPr>
      </w:pPr>
      <w:r>
        <w:t xml:space="preserve">Data-driven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Gap:</w:t>
      </w:r>
      <w:r>
        <w:t xml:space="preserve"> </w:t>
      </w:r>
      <w:r>
        <w:t xml:space="preserve">Screening-only; no unified decision runtime.</w:t>
      </w:r>
    </w:p>
    <w:p>
      <w:pPr>
        <w:pStyle w:val="Heading2"/>
      </w:pPr>
      <w:bookmarkStart w:id="17" w:name="_seon"/>
      <w:r>
        <w:t xml:space="preserve">8. SEON</w:t>
      </w:r>
    </w:p>
    <w:p>
      <w:pPr>
        <w:pStyle w:val="Compact"/>
        <w:numPr>
          <w:ilvl w:val="0"/>
          <w:numId w:val="1008"/>
        </w:numPr>
      </w:pPr>
      <w:r>
        <w:t xml:space="preserve">Fraud/AML for SMBs</w:t>
      </w:r>
    </w:p>
    <w:p>
      <w:pPr>
        <w:pStyle w:val="Compact"/>
        <w:numPr>
          <w:ilvl w:val="0"/>
          <w:numId w:val="1008"/>
        </w:numPr>
      </w:pPr>
      <w:r>
        <w:t xml:space="preserve">Fast integration</w:t>
      </w:r>
    </w:p>
    <w:p>
      <w:pPr>
        <w:pStyle w:val="Compact"/>
        <w:numPr>
          <w:ilvl w:val="0"/>
          <w:numId w:val="1008"/>
        </w:numPr>
      </w:pPr>
      <w:r>
        <w:t xml:space="preserve">API-first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Gap:</w:t>
      </w:r>
      <w:r>
        <w:t xml:space="preserve"> </w:t>
      </w:r>
      <w:r>
        <w:t xml:space="preserve">SMB focus; not enterprise FCDOS.</w:t>
      </w:r>
    </w:p>
    <w:p>
      <w:pPr>
        <w:pStyle w:val="Heading2"/>
      </w:pPr>
      <w:bookmarkStart w:id="18" w:name="_sumsub"/>
      <w:r>
        <w:t xml:space="preserve">9. Sumsub</w:t>
      </w:r>
    </w:p>
    <w:p>
      <w:pPr>
        <w:pStyle w:val="Compact"/>
        <w:numPr>
          <w:ilvl w:val="0"/>
          <w:numId w:val="1009"/>
        </w:numPr>
      </w:pPr>
      <w:r>
        <w:t xml:space="preserve">KYC/KYB verification</w:t>
      </w:r>
    </w:p>
    <w:p>
      <w:pPr>
        <w:pStyle w:val="Compact"/>
        <w:numPr>
          <w:ilvl w:val="0"/>
          <w:numId w:val="1009"/>
        </w:numPr>
      </w:pPr>
      <w:r>
        <w:t xml:space="preserve">Global coverage</w:t>
      </w:r>
    </w:p>
    <w:p>
      <w:pPr>
        <w:pStyle w:val="Compact"/>
        <w:numPr>
          <w:ilvl w:val="0"/>
          <w:numId w:val="1009"/>
        </w:numPr>
      </w:pPr>
      <w:r>
        <w:t xml:space="preserve">Strong UX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Gap:</w:t>
      </w:r>
      <w:r>
        <w:t xml:space="preserve"> </w:t>
      </w:r>
      <w:r>
        <w:t xml:space="preserve">Verification-only; no decision engine.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Public information; estimates only.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Market Intelligence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03 Global Competitors</dc:title>
  <dc:creator>HISN Platform</dc:creator>
  <cp:keywords>HISN, FCDOS, financial crime, decision operating system</cp:keywords>
  <dcterms:created xsi:type="dcterms:W3CDTF">2026-10-14T09:26:25Z</dcterms:created>
  <dcterms:modified xsi:type="dcterms:W3CDTF">2026-10-14T09:26:25Z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