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03_Saudi_RegTech_Landscape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77ed1a4dcfda77fafc012cea060e3b267bd5891"/>
      <w:r>
        <w:t xml:space="preserve">SAUDI REGTECH LANDSCAPE</w:t>
      </w:r>
    </w:p>
    <w:p>
      <w:pPr>
        <w:pStyle w:val="Heading2"/>
      </w:pPr>
      <w:bookmarkStart w:id="10" w:name="_ee778878e69dd40eb36c598aaa110ac464d96ba"/>
      <w:r>
        <w:t xml:space="preserve">1. Macro Context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Indicator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  <w:tc>
          <w:tcPr/>
          <w:p>
            <w:pPr>
              <w:pStyle w:val="Compact"/>
            </w:pPr>
            <w:r>
              <w:t xml:space="preserve">Source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Vision 2030 FSDP target</w:t>
            </w:r>
          </w:p>
        </w:tc>
        <w:tc>
          <w:tcPr/>
          <w:p>
            <w:pPr>
              <w:pStyle w:val="Compact"/>
            </w:pPr>
            <w:r>
              <w:t xml:space="preserve">Top 10 financial sector globally</w:t>
            </w:r>
          </w:p>
        </w:tc>
        <w:tc>
          <w:tcPr/>
          <w:p>
            <w:pPr>
              <w:pStyle w:val="Compact"/>
            </w:pPr>
            <w:r>
              <w:t xml:space="preserve">FSDP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Saudi FinTech companies</w:t>
            </w:r>
          </w:p>
        </w:tc>
        <w:tc>
          <w:tcPr/>
          <w:p>
            <w:pPr>
              <w:pStyle w:val="Compact"/>
            </w:pPr>
            <w:r>
              <w:t xml:space="preserve">371 (Aug 2026)</w:t>
            </w:r>
          </w:p>
        </w:tc>
        <w:tc>
          <w:tcPr/>
          <w:p>
            <w:pPr>
              <w:pStyle w:val="Compact"/>
            </w:pPr>
            <w:r>
              <w:t xml:space="preserve">SAMA / Fintech Saudi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Cumulative FinTech investment</w:t>
            </w:r>
          </w:p>
        </w:tc>
        <w:tc>
          <w:tcPr/>
          <w:p>
            <w:pPr>
              <w:pStyle w:val="Compact"/>
            </w:pPr>
            <w:r>
              <w:t xml:space="preserve">SAR 30B+ (H1 2026)</w:t>
            </w:r>
          </w:p>
        </w:tc>
        <w:tc>
          <w:tcPr/>
          <w:p>
            <w:pPr>
              <w:pStyle w:val="Compact"/>
            </w:pPr>
            <w:r>
              <w:t xml:space="preserve">SAMA / Fintech Saudi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Banking sector assets</w:t>
            </w:r>
          </w:p>
        </w:tc>
        <w:tc>
          <w:tcPr/>
          <w:p>
            <w:pPr>
              <w:pStyle w:val="Compact"/>
            </w:pPr>
            <w:r>
              <w:t xml:space="preserve">SAR 4.2T+</w:t>
            </w:r>
          </w:p>
        </w:tc>
        <w:tc>
          <w:tcPr/>
          <w:p>
            <w:pPr>
              <w:pStyle w:val="Compact"/>
            </w:pPr>
            <w:r>
              <w:t xml:space="preserve">SAMA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Insurance sector GWP</w:t>
            </w:r>
          </w:p>
        </w:tc>
        <w:tc>
          <w:tcPr/>
          <w:p>
            <w:pPr>
              <w:pStyle w:val="Compact"/>
            </w:pPr>
            <w:r>
              <w:t xml:space="preserve">SAR 55B+</w:t>
            </w:r>
          </w:p>
        </w:tc>
        <w:tc>
          <w:tcPr/>
          <w:p>
            <w:pPr>
              <w:pStyle w:val="Compact"/>
            </w:pPr>
            <w:r>
              <w:t xml:space="preserve">Insurance Authority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Payment transactions (annual)</w:t>
            </w:r>
          </w:p>
        </w:tc>
        <w:tc>
          <w:tcPr/>
          <w:p>
            <w:pPr>
              <w:pStyle w:val="Compact"/>
            </w:pPr>
            <w:r>
              <w:t xml:space="preserve">SAR 6T+</w:t>
            </w:r>
          </w:p>
        </w:tc>
        <w:tc>
          <w:tcPr/>
          <w:p>
            <w:pPr>
              <w:pStyle w:val="Compact"/>
            </w:pPr>
            <w:r>
              <w:t xml:space="preserve">SAMA</w:t>
            </w:r>
          </w:p>
        </w:tc>
      </w:tr>
    </w:tbl>
    <w:p>
      <w:pPr>
        <w:pStyle w:val="Heading2"/>
      </w:pPr>
      <w:bookmarkStart w:id="11" w:name="_416a3290c3e918d50199be376f18877a79b7e0e"/>
      <w:r>
        <w:t xml:space="preserve">2. Regulated Institution Landscape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Segment</w:t>
            </w:r>
          </w:p>
        </w:tc>
        <w:tc>
          <w:tcPr/>
          <w:p>
            <w:pPr>
              <w:pStyle w:val="Compact"/>
            </w:pPr>
            <w:r>
              <w:t xml:space="preserve">Count</w:t>
            </w:r>
          </w:p>
        </w:tc>
        <w:tc>
          <w:tcPr/>
          <w:p>
            <w:pPr>
              <w:pStyle w:val="Compact"/>
            </w:pPr>
            <w:r>
              <w:t xml:space="preserve">Addressable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Tier-1 Banks (local)</w:t>
            </w:r>
          </w:p>
        </w:tc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Digital Banks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Foreign Bank Branches</w:t>
            </w:r>
          </w:p>
        </w:tc>
        <w:tc>
          <w:tcPr/>
          <w:p>
            <w:pPr>
              <w:pStyle w:val="Compact"/>
            </w:pPr>
            <w:r>
              <w:t xml:space="preserve">15+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Insurance Companies</w:t>
            </w:r>
          </w:p>
        </w:tc>
        <w:tc>
          <w:tcPr/>
          <w:p>
            <w:pPr>
              <w:pStyle w:val="Compact"/>
            </w:pPr>
            <w:r>
              <w:t xml:space="preserve">25+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Reinsurance</w:t>
            </w:r>
          </w:p>
        </w:tc>
        <w:tc>
          <w:tcPr/>
          <w:p>
            <w:pPr>
              <w:pStyle w:val="Compact"/>
            </w:pPr>
            <w:r>
              <w:t xml:space="preserve">5+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Exchange / Remittance</w:t>
            </w:r>
          </w:p>
        </w:tc>
        <w:tc>
          <w:tcPr/>
          <w:p>
            <w:pPr>
              <w:pStyle w:val="Compact"/>
            </w:pPr>
            <w:r>
              <w:t xml:space="preserve">15+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Payment Service Providers</w:t>
            </w:r>
          </w:p>
        </w:tc>
        <w:tc>
          <w:tcPr/>
          <w:p>
            <w:pPr>
              <w:pStyle w:val="Compact"/>
            </w:pPr>
            <w:r>
              <w:t xml:space="preserve">30+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FinTech (lending, wealth)</w:t>
            </w:r>
          </w:p>
        </w:tc>
        <w:tc>
          <w:tcPr/>
          <w:p>
            <w:pPr>
              <w:pStyle w:val="Compact"/>
            </w:pPr>
            <w:r>
              <w:t xml:space="preserve">200+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Asset Managers</w:t>
            </w:r>
          </w:p>
        </w:tc>
        <w:tc>
          <w:tcPr/>
          <w:p>
            <w:pPr>
              <w:pStyle w:val="Compact"/>
            </w:pPr>
            <w:r>
              <w:t xml:space="preserve">30+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Brokerage Firms</w:t>
            </w:r>
          </w:p>
        </w:tc>
        <w:tc>
          <w:tcPr/>
          <w:p>
            <w:pPr>
              <w:pStyle w:val="Compact"/>
            </w:pPr>
            <w:r>
              <w:t xml:space="preserve">25+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</w:tbl>
    <w:p>
      <w:pPr>
        <w:pStyle w:val="Heading2"/>
      </w:pPr>
      <w:bookmarkStart w:id="12" w:name="_3b3cfbc132880b1533840f225d8cc7420c76a36"/>
      <w:r>
        <w:t xml:space="preserve">3. Regulatory Architecture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Body</w:t>
            </w:r>
          </w:p>
        </w:tc>
        <w:tc>
          <w:tcPr/>
          <w:p>
            <w:pPr>
              <w:pStyle w:val="Compact"/>
            </w:pPr>
            <w:r>
              <w:t xml:space="preserve">Scope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SAMA</w:t>
            </w:r>
          </w:p>
        </w:tc>
        <w:tc>
          <w:tcPr/>
          <w:p>
            <w:pPr>
              <w:pStyle w:val="Compact"/>
            </w:pPr>
            <w:r>
              <w:t xml:space="preserve">Banks, PSPs, Exchange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CMA</w:t>
            </w:r>
          </w:p>
        </w:tc>
        <w:tc>
          <w:tcPr/>
          <w:p>
            <w:pPr>
              <w:pStyle w:val="Compact"/>
            </w:pPr>
            <w:r>
              <w:t xml:space="preserve">Capital markets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Insurance Authority</w:t>
            </w:r>
          </w:p>
        </w:tc>
        <w:tc>
          <w:tcPr/>
          <w:p>
            <w:pPr>
              <w:pStyle w:val="Compact"/>
            </w:pPr>
            <w:r>
              <w:t xml:space="preserve">Insurance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SDAIA</w:t>
            </w:r>
          </w:p>
        </w:tc>
        <w:tc>
          <w:tcPr/>
          <w:p>
            <w:pPr>
              <w:pStyle w:val="Compact"/>
            </w:pPr>
            <w:r>
              <w:t xml:space="preserve">Data protection (PDPL), AI</w:t>
            </w:r>
          </w:p>
        </w:tc>
      </w:tr>
      <w:tr>
        <w:tc>
          <w:tcPr/>
          <w:p>
            <w:pPr>
              <w:pStyle w:val="Compact"/>
            </w:pPr>
            <w:r>
              <w:t xml:space="preserve">NCA</w:t>
            </w:r>
          </w:p>
        </w:tc>
        <w:tc>
          <w:tcPr/>
          <w:p>
            <w:pPr>
              <w:pStyle w:val="Compact"/>
            </w:pPr>
            <w:r>
              <w:t xml:space="preserve">Cybersecurity (ECC)</w:t>
            </w:r>
          </w:p>
        </w:tc>
      </w:tr>
      <w:tr>
        <w:tc>
          <w:tcPr/>
          <w:p>
            <w:pPr>
              <w:pStyle w:val="Compact"/>
            </w:pPr>
            <w:r>
              <w:t xml:space="preserve">ZATCA</w:t>
            </w:r>
          </w:p>
        </w:tc>
        <w:tc>
          <w:tcPr/>
          <w:p>
            <w:pPr>
              <w:pStyle w:val="Compact"/>
            </w:pPr>
            <w:r>
              <w:t xml:space="preserve">Tax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MISA</w:t>
            </w:r>
          </w:p>
        </w:tc>
        <w:tc>
          <w:tcPr/>
          <w:p>
            <w:pPr>
              <w:pStyle w:val="Compact"/>
            </w:pPr>
            <w:r>
              <w:t xml:space="preserve">Investment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GOSI</w:t>
            </w:r>
          </w:p>
        </w:tc>
        <w:tc>
          <w:tcPr/>
          <w:p>
            <w:pPr>
              <w:pStyle w:val="Compact"/>
            </w:pPr>
            <w:r>
              <w:t xml:space="preserve">Labour</w:t>
            </w:r>
          </w:p>
        </w:tc>
      </w:tr>
    </w:tbl>
    <w:p>
      <w:pPr>
        <w:pStyle w:val="Heading2"/>
      </w:pPr>
      <w:bookmarkStart w:id="13" w:name="_349174708b7a3a490d7d49d2d0d8bc68bd3c9f2"/>
      <w:r>
        <w:t xml:space="preserve">4. Regulatory Tailwinds</w:t>
      </w:r>
    </w:p>
    <w:p>
      <w:pPr>
        <w:pStyle w:val="Heading3"/>
      </w:pPr>
      <w:bookmarkStart w:id="14" w:name="_1a1e884e09451858061603700229a9c7852ca7e"/>
      <w:r>
        <w:t xml:space="preserve">4.1 SAMA Cyber Security Framework</w:t>
      </w:r>
    </w:p>
    <w:p>
      <w:pPr>
        <w:pStyle w:val="Compact"/>
        <w:numPr>
          <w:ilvl w:val="0"/>
          <w:numId w:val="1001"/>
        </w:numPr>
      </w:pPr>
      <w:r>
        <w:t xml:space="preserve">Mandatory for all SAMA-supervised entities</w:t>
      </w:r>
    </w:p>
    <w:p>
      <w:pPr>
        <w:pStyle w:val="Compact"/>
        <w:numPr>
          <w:ilvl w:val="0"/>
          <w:numId w:val="1001"/>
        </w:numPr>
      </w:pPr>
      <w:r>
        <w:t xml:space="preserve">Emphasis on governance, risk, operations, third-party</w:t>
      </w:r>
    </w:p>
    <w:p>
      <w:pPr>
        <w:pStyle w:val="Compact"/>
        <w:numPr>
          <w:ilvl w:val="0"/>
          <w:numId w:val="1001"/>
        </w:numPr>
      </w:pPr>
      <w:r>
        <w:t xml:space="preserve">Requires auditable technology controls</w:t>
      </w:r>
    </w:p>
    <w:p>
      <w:pPr>
        <w:pStyle w:val="Heading3"/>
      </w:pPr>
      <w:bookmarkStart w:id="15" w:name="_e716c1be8488547feeff120f451d38ea480e366"/>
      <w:r>
        <w:t xml:space="preserve">4.2 PDPL (Personal Data Protection Law)</w:t>
      </w:r>
    </w:p>
    <w:p>
      <w:pPr>
        <w:pStyle w:val="Compact"/>
        <w:numPr>
          <w:ilvl w:val="0"/>
          <w:numId w:val="1002"/>
        </w:numPr>
      </w:pPr>
      <w:r>
        <w:t xml:space="preserve">Effective for full enforcement</w:t>
      </w:r>
    </w:p>
    <w:p>
      <w:pPr>
        <w:pStyle w:val="Compact"/>
        <w:numPr>
          <w:ilvl w:val="0"/>
          <w:numId w:val="1002"/>
        </w:numPr>
      </w:pPr>
      <w:r>
        <w:t xml:space="preserve">Requires data classification, consent, breach notification</w:t>
      </w:r>
    </w:p>
    <w:p>
      <w:pPr>
        <w:pStyle w:val="Compact"/>
        <w:numPr>
          <w:ilvl w:val="0"/>
          <w:numId w:val="1002"/>
        </w:numPr>
      </w:pPr>
      <w:r>
        <w:t xml:space="preserve">Cross-border transfer restrictions</w:t>
      </w:r>
    </w:p>
    <w:p>
      <w:pPr>
        <w:pStyle w:val="Heading3"/>
      </w:pPr>
      <w:bookmarkStart w:id="16" w:name="_55f5a4ec75c623a149171c396dbb97af065a2ef"/>
      <w:r>
        <w:t xml:space="preserve">4.3 NCA ECC</w:t>
      </w:r>
    </w:p>
    <w:p>
      <w:pPr>
        <w:pStyle w:val="Compact"/>
        <w:numPr>
          <w:ilvl w:val="0"/>
          <w:numId w:val="1003"/>
        </w:numPr>
      </w:pPr>
      <w:r>
        <w:t xml:space="preserve">Essential Cybersecurity Controls</w:t>
      </w:r>
    </w:p>
    <w:p>
      <w:pPr>
        <w:pStyle w:val="Compact"/>
        <w:numPr>
          <w:ilvl w:val="0"/>
          <w:numId w:val="1003"/>
        </w:numPr>
      </w:pPr>
      <w:r>
        <w:t xml:space="preserve">Mandatory for critical national infrastructure</w:t>
      </w:r>
    </w:p>
    <w:p>
      <w:pPr>
        <w:pStyle w:val="Compact"/>
        <w:numPr>
          <w:ilvl w:val="0"/>
          <w:numId w:val="1003"/>
        </w:numPr>
      </w:pPr>
      <w:r>
        <w:t xml:space="preserve">Requires asset management, access control, incident response</w:t>
      </w:r>
    </w:p>
    <w:p>
      <w:pPr>
        <w:pStyle w:val="Heading3"/>
      </w:pPr>
      <w:bookmarkStart w:id="17" w:name="_1cdc9e09f175d15d8e258474abef2e7743ca37d"/>
      <w:r>
        <w:t xml:space="preserve">4.4 AML/CFT Rules</w:t>
      </w:r>
    </w:p>
    <w:p>
      <w:pPr>
        <w:pStyle w:val="Compact"/>
        <w:numPr>
          <w:ilvl w:val="0"/>
          <w:numId w:val="1004"/>
        </w:numPr>
      </w:pPr>
      <w:r>
        <w:t xml:space="preserve">10-year record retention</w:t>
      </w:r>
    </w:p>
    <w:p>
      <w:pPr>
        <w:pStyle w:val="Compact"/>
        <w:numPr>
          <w:ilvl w:val="0"/>
          <w:numId w:val="1004"/>
        </w:numPr>
      </w:pPr>
      <w:r>
        <w:t xml:space="preserve">Risk-based approach mandatory</w:t>
      </w:r>
    </w:p>
    <w:p>
      <w:pPr>
        <w:pStyle w:val="Compact"/>
        <w:numPr>
          <w:ilvl w:val="0"/>
          <w:numId w:val="1004"/>
        </w:numPr>
      </w:pPr>
      <w:r>
        <w:t xml:space="preserve">SAR/STR workflow required</w:t>
      </w:r>
    </w:p>
    <w:p>
      <w:pPr>
        <w:pStyle w:val="Compact"/>
        <w:numPr>
          <w:ilvl w:val="0"/>
          <w:numId w:val="1004"/>
        </w:numPr>
      </w:pPr>
      <w:r>
        <w:t xml:space="preserve">Ongoing CDD obligations</w:t>
      </w:r>
    </w:p>
    <w:p>
      <w:pPr>
        <w:pStyle w:val="Heading2"/>
      </w:pPr>
      <w:bookmarkStart w:id="18" w:name="_2468662f4fdeb3941d1aa474bcbf10cc50f8972"/>
      <w:r>
        <w:t xml:space="preserve">5. Market Readiness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Factor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Regulatory pressure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</w:pPr>
            <w:r>
              <w:t xml:space="preserve">Budget availability</w:t>
            </w:r>
          </w:p>
        </w:tc>
        <w:tc>
          <w:tcPr/>
          <w:p>
            <w:pPr>
              <w:pStyle w:val="Compact"/>
            </w:pPr>
            <w:r>
              <w:t xml:space="preserve">Strong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Technology adoption</w:t>
            </w:r>
          </w:p>
        </w:tc>
        <w:tc>
          <w:tcPr/>
          <w:p>
            <w:pPr>
              <w:pStyle w:val="Compact"/>
            </w:pPr>
            <w:r>
              <w:t xml:space="preserve">Accelerating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Local vendor preference</w:t>
            </w:r>
          </w:p>
        </w:tc>
        <w:tc>
          <w:tcPr/>
          <w:p>
            <w:pPr>
              <w:pStyle w:val="Compact"/>
            </w:pPr>
            <w:r>
              <w:t xml:space="preserve">Strong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Arabic language requirement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Data residency preference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Sources: SAMA, CMA, Insurance Authority, SDAIA, NCA publications.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Market Intelligence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03 Saudi RegTech Landscape</dc:title>
  <dc:creator>HISN Platform</dc:creator>
  <cp:keywords>HISN, FCDOS, financial crime, decision operating system</cp:keywords>
  <dcterms:created xsi:type="dcterms:W3CDTF">2026-10-14T09:26:24Z</dcterms:created>
  <dcterms:modified xsi:type="dcterms:W3CDTF">2026-10-14T09:26:24Z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