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04_ACV_Scenarios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d68736a8969a39f36b2ac98ac33f39b57018e0"/>
      <w:r>
        <w:t xml:space="preserve">ACV SCENARIOS</w:t>
      </w:r>
    </w:p>
    <w:p>
      <w:pPr>
        <w:pStyle w:val="Heading2"/>
      </w:pPr>
      <w:bookmarkStart w:id="10" w:name="_3a530ccafb3b872a668a070ce037065ff64604d"/>
      <w:r>
        <w:t xml:space="preserve">1. Base Case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Customer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3.5M</w:t>
            </w:r>
          </w:p>
        </w:tc>
        <w:tc>
          <w:tcPr/>
          <w:p>
            <w:pPr>
              <w:pStyle w:val="Compact"/>
            </w:pPr>
            <w:r>
              <w:t xml:space="preserve">4.0M</w:t>
            </w:r>
          </w:p>
        </w:tc>
        <w:tc>
          <w:tcPr/>
          <w:p>
            <w:pPr>
              <w:pStyle w:val="Compact"/>
            </w:pPr>
            <w:r>
              <w:t xml:space="preserve">4.5M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2.0M</w:t>
            </w:r>
          </w:p>
        </w:tc>
        <w:tc>
          <w:tcPr/>
          <w:p>
            <w:pPr>
              <w:pStyle w:val="Compact"/>
            </w:pPr>
            <w:r>
              <w:t xml:space="preserve">2.2M</w:t>
            </w:r>
          </w:p>
        </w:tc>
        <w:tc>
          <w:tcPr/>
          <w:p>
            <w:pPr>
              <w:pStyle w:val="Compact"/>
            </w:pPr>
            <w:r>
              <w:t xml:space="preserve">2.4M</w:t>
            </w:r>
          </w:p>
        </w:tc>
        <w:tc>
          <w:tcPr/>
          <w:p>
            <w:pPr>
              <w:pStyle w:val="Compact"/>
            </w:pPr>
            <w:r>
              <w:t xml:space="preserve">2.6M</w:t>
            </w:r>
          </w:p>
        </w:tc>
        <w:tc>
          <w:tcPr/>
          <w:p>
            <w:pPr>
              <w:pStyle w:val="Compact"/>
            </w:pPr>
            <w:r>
              <w:t xml:space="preserve">2.8M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1.5M</w:t>
            </w:r>
          </w:p>
        </w:tc>
        <w:tc>
          <w:tcPr/>
          <w:p>
            <w:pPr>
              <w:pStyle w:val="Compact"/>
            </w:pPr>
            <w:r>
              <w:t xml:space="preserve">1.7M</w:t>
            </w:r>
          </w:p>
        </w:tc>
        <w:tc>
          <w:tcPr/>
          <w:p>
            <w:pPr>
              <w:pStyle w:val="Compact"/>
            </w:pPr>
            <w:r>
              <w:t xml:space="preserve">1.9M</w:t>
            </w:r>
          </w:p>
        </w:tc>
        <w:tc>
          <w:tcPr/>
          <w:p>
            <w:pPr>
              <w:pStyle w:val="Compact"/>
            </w:pPr>
            <w:r>
              <w:t xml:space="preserve">2.1M</w:t>
            </w:r>
          </w:p>
        </w:tc>
        <w:tc>
          <w:tcPr/>
          <w:p>
            <w:pPr>
              <w:pStyle w:val="Compact"/>
            </w:pPr>
            <w:r>
              <w:t xml:space="preserve">2.3M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1.2M</w:t>
            </w:r>
          </w:p>
        </w:tc>
        <w:tc>
          <w:tcPr/>
          <w:p>
            <w:pPr>
              <w:pStyle w:val="Compact"/>
            </w:pPr>
            <w:r>
              <w:t xml:space="preserve">1.4M</w:t>
            </w:r>
          </w:p>
        </w:tc>
        <w:tc>
          <w:tcPr/>
          <w:p>
            <w:pPr>
              <w:pStyle w:val="Compact"/>
            </w:pPr>
            <w:r>
              <w:t xml:space="preserve">1.6M</w:t>
            </w:r>
          </w:p>
        </w:tc>
        <w:tc>
          <w:tcPr/>
          <w:p>
            <w:pPr>
              <w:pStyle w:val="Compact"/>
            </w:pPr>
            <w:r>
              <w:t xml:space="preserve">1.8M</w:t>
            </w:r>
          </w:p>
        </w:tc>
        <w:tc>
          <w:tcPr/>
          <w:p>
            <w:pPr>
              <w:pStyle w:val="Compact"/>
            </w:pPr>
            <w:r>
              <w:t xml:space="preserve">2.0M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1.0M</w:t>
            </w:r>
          </w:p>
        </w:tc>
        <w:tc>
          <w:tcPr/>
          <w:p>
            <w:pPr>
              <w:pStyle w:val="Compact"/>
            </w:pPr>
            <w:r>
              <w:t xml:space="preserve">1.1M</w:t>
            </w:r>
          </w:p>
        </w:tc>
        <w:tc>
          <w:tcPr/>
          <w:p>
            <w:pPr>
              <w:pStyle w:val="Compact"/>
            </w:pPr>
            <w:r>
              <w:t xml:space="preserve">1.2M</w:t>
            </w:r>
          </w:p>
        </w:tc>
        <w:tc>
          <w:tcPr/>
          <w:p>
            <w:pPr>
              <w:pStyle w:val="Compact"/>
            </w:pPr>
            <w:r>
              <w:t xml:space="preserve">1.4M</w:t>
            </w:r>
          </w:p>
        </w:tc>
        <w:tc>
          <w:tcPr/>
          <w:p>
            <w:pPr>
              <w:pStyle w:val="Compact"/>
            </w:pPr>
            <w:r>
              <w:t xml:space="preserve">1.5M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800K</w:t>
            </w:r>
          </w:p>
        </w:tc>
        <w:tc>
          <w:tcPr/>
          <w:p>
            <w:pPr>
              <w:pStyle w:val="Compact"/>
            </w:pPr>
            <w:r>
              <w:t xml:space="preserve">900K</w:t>
            </w:r>
          </w:p>
        </w:tc>
        <w:tc>
          <w:tcPr/>
          <w:p>
            <w:pPr>
              <w:pStyle w:val="Compact"/>
            </w:pPr>
            <w:r>
              <w:t xml:space="preserve">1.0M</w:t>
            </w:r>
          </w:p>
        </w:tc>
        <w:tc>
          <w:tcPr/>
          <w:p>
            <w:pPr>
              <w:pStyle w:val="Compact"/>
            </w:pPr>
            <w:r>
              <w:t xml:space="preserve">1.1M</w:t>
            </w:r>
          </w:p>
        </w:tc>
        <w:tc>
          <w:tcPr/>
          <w:p>
            <w:pPr>
              <w:pStyle w:val="Compact"/>
            </w:pPr>
            <w:r>
              <w:t xml:space="preserve">1.2M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500K</w:t>
            </w:r>
          </w:p>
        </w:tc>
        <w:tc>
          <w:tcPr/>
          <w:p>
            <w:pPr>
              <w:pStyle w:val="Compact"/>
            </w:pPr>
            <w:r>
              <w:t xml:space="preserve">600K</w:t>
            </w:r>
          </w:p>
        </w:tc>
        <w:tc>
          <w:tcPr/>
          <w:p>
            <w:pPr>
              <w:pStyle w:val="Compact"/>
            </w:pPr>
            <w:r>
              <w:t xml:space="preserve">700K</w:t>
            </w:r>
          </w:p>
        </w:tc>
        <w:tc>
          <w:tcPr/>
          <w:p>
            <w:pPr>
              <w:pStyle w:val="Compact"/>
            </w:pPr>
            <w:r>
              <w:t xml:space="preserve">800K</w:t>
            </w:r>
          </w:p>
        </w:tc>
        <w:tc>
          <w:tcPr/>
          <w:p>
            <w:pPr>
              <w:pStyle w:val="Compact"/>
            </w:pPr>
            <w:r>
              <w:t xml:space="preserve">900K</w:t>
            </w:r>
          </w:p>
        </w:tc>
      </w:tr>
    </w:tbl>
    <w:p>
      <w:pPr>
        <w:pStyle w:val="Heading2"/>
      </w:pPr>
      <w:bookmarkStart w:id="11" w:name="_1e17cb4ecc1e4abd13f796aa0e7c62dafd1e76d"/>
      <w:r>
        <w:t xml:space="preserve">2. Revenue by Year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Total Revenue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750K</w:t>
            </w: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4.0M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13.0M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34.0M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77.0M</w:t>
            </w:r>
          </w:p>
        </w:tc>
      </w:tr>
    </w:tbl>
    <w:p>
      <w:pPr>
        <w:pStyle w:val="Heading2"/>
      </w:pPr>
      <w:bookmarkStart w:id="12" w:name="_3d06998403bbb8cf7bff69f74c23730430c6b72"/>
      <w:r>
        <w:t xml:space="preserve">3. Growth Drivers</w:t>
      </w:r>
    </w:p>
    <w:p>
      <w:pPr>
        <w:pStyle w:val="Compact"/>
        <w:numPr>
          <w:ilvl w:val="0"/>
          <w:numId w:val="1001"/>
        </w:numPr>
      </w:pPr>
      <w:r>
        <w:t xml:space="preserve">New customer acquisition</w:t>
      </w:r>
    </w:p>
    <w:p>
      <w:pPr>
        <w:pStyle w:val="Compact"/>
        <w:numPr>
          <w:ilvl w:val="0"/>
          <w:numId w:val="1001"/>
        </w:numPr>
      </w:pPr>
      <w:r>
        <w:t xml:space="preserve">Module expansion</w:t>
      </w:r>
    </w:p>
    <w:p>
      <w:pPr>
        <w:pStyle w:val="Compact"/>
        <w:numPr>
          <w:ilvl w:val="0"/>
          <w:numId w:val="1001"/>
        </w:numPr>
      </w:pPr>
      <w:r>
        <w:t xml:space="preserve">Usage growth</w:t>
      </w:r>
    </w:p>
    <w:p>
      <w:pPr>
        <w:pStyle w:val="Compact"/>
        <w:numPr>
          <w:ilvl w:val="0"/>
          <w:numId w:val="1001"/>
        </w:numPr>
      </w:pPr>
      <w:r>
        <w:t xml:space="preserve">Multi-year uplift</w:t>
      </w:r>
    </w:p>
    <w:p>
      <w:pPr>
        <w:pStyle w:val="Compact"/>
        <w:numPr>
          <w:ilvl w:val="0"/>
          <w:numId w:val="1001"/>
        </w:numPr>
      </w:pPr>
      <w:r>
        <w:t xml:space="preserve">NRR target: 120%+</w:t>
      </w:r>
    </w:p>
    <w:p>
      <w:pPr>
        <w:pStyle w:val="Heading2"/>
      </w:pPr>
      <w:bookmarkStart w:id="13" w:name="_sensitivity"/>
      <w:r>
        <w:t xml:space="preserve">4. Sensitivity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Factor</w:t>
            </w:r>
          </w:p>
        </w:tc>
        <w:tc>
          <w:tcPr/>
          <w:p>
            <w:pPr>
              <w:pStyle w:val="Compact"/>
            </w:pPr>
            <w:r>
              <w:t xml:space="preserve">Downside</w:t>
            </w:r>
          </w:p>
        </w:tc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Upside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-20%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+15%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cycle</w:t>
            </w:r>
          </w:p>
        </w:tc>
        <w:tc>
          <w:tcPr/>
          <w:p>
            <w:pPr>
              <w:pStyle w:val="Compact"/>
            </w:pPr>
            <w:r>
              <w:t xml:space="preserve">+50%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-30%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 rate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35%</w:t>
            </w:r>
          </w:p>
        </w:tc>
      </w:tr>
    </w:tbl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ACV Scenarios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