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05_Discount_Policy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7ea3e3043f0ac30f3f9dc213411ca46bff1f585"/>
      <w:r>
        <w:t xml:space="preserve">DISCOUNT POLICY</w:t>
      </w:r>
    </w:p>
    <w:p>
      <w:pPr>
        <w:pStyle w:val="Heading2"/>
      </w:pPr>
      <w:bookmarkStart w:id="10" w:name="_governance"/>
      <w:r>
        <w:t xml:space="preserve">1. Governance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Discount</w:t>
            </w:r>
          </w:p>
        </w:tc>
        <w:tc>
          <w:tcPr/>
          <w:p>
            <w:pPr>
              <w:pStyle w:val="Compact"/>
            </w:pPr>
            <w:r>
              <w:t xml:space="preserve">Approval Level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0-10%</w:t>
            </w:r>
          </w:p>
        </w:tc>
        <w:tc>
          <w:tcPr/>
          <w:p>
            <w:pPr>
              <w:pStyle w:val="Compact"/>
            </w:pPr>
            <w:r>
              <w:t xml:space="preserve">Sales Rep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10-15%</w:t>
            </w:r>
          </w:p>
        </w:tc>
        <w:tc>
          <w:tcPr/>
          <w:p>
            <w:pPr>
              <w:pStyle w:val="Compact"/>
            </w:pPr>
            <w:r>
              <w:t xml:space="preserve">Sales Manager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15-20%</w:t>
            </w:r>
          </w:p>
        </w:tc>
        <w:tc>
          <w:tcPr/>
          <w:p>
            <w:pPr>
              <w:pStyle w:val="Compact"/>
            </w:pPr>
            <w:r>
              <w:t xml:space="preserve">VP Sales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20-25%</w:t>
            </w:r>
          </w:p>
        </w:tc>
        <w:tc>
          <w:tcPr/>
          <w:p>
            <w:pPr>
              <w:pStyle w:val="Compact"/>
            </w:pPr>
            <w:r>
              <w:t xml:space="preserve">CFO + VP Sales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25-35%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35%+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</w:tr>
    </w:tbl>
    <w:p>
      <w:pPr>
        <w:pStyle w:val="Heading2"/>
      </w:pPr>
      <w:bookmarkStart w:id="11" w:name="_c1c4201805c1c0f28eeab54079e9e3441a48ad3"/>
      <w:r>
        <w:t xml:space="preserve">2. Justified Discount Scenarios</w:t>
      </w:r>
    </w:p>
    <w:p>
      <w:pPr>
        <w:pStyle w:val="Compact"/>
        <w:numPr>
          <w:ilvl w:val="0"/>
          <w:numId w:val="1001"/>
        </w:numPr>
      </w:pPr>
      <w:r>
        <w:t xml:space="preserve">Multi-year commitment (3+ years)</w:t>
      </w:r>
    </w:p>
    <w:p>
      <w:pPr>
        <w:pStyle w:val="Compact"/>
        <w:numPr>
          <w:ilvl w:val="0"/>
          <w:numId w:val="1001"/>
        </w:numPr>
      </w:pPr>
      <w:r>
        <w:t xml:space="preserve">Prepayment of 12+ months</w:t>
      </w:r>
    </w:p>
    <w:p>
      <w:pPr>
        <w:pStyle w:val="Compact"/>
        <w:numPr>
          <w:ilvl w:val="0"/>
          <w:numId w:val="1001"/>
        </w:numPr>
      </w:pPr>
      <w:r>
        <w:t xml:space="preserve">Strategic reference value</w:t>
      </w:r>
    </w:p>
    <w:p>
      <w:pPr>
        <w:pStyle w:val="Compact"/>
        <w:numPr>
          <w:ilvl w:val="0"/>
          <w:numId w:val="1001"/>
        </w:numPr>
      </w:pPr>
      <w:r>
        <w:t xml:space="preserve">Bundled module adoption</w:t>
      </w:r>
    </w:p>
    <w:p>
      <w:pPr>
        <w:pStyle w:val="Compact"/>
        <w:numPr>
          <w:ilvl w:val="0"/>
          <w:numId w:val="1001"/>
        </w:numPr>
      </w:pPr>
      <w:r>
        <w:t xml:space="preserve">Market entry (first customer)</w:t>
      </w:r>
    </w:p>
    <w:p>
      <w:pPr>
        <w:pStyle w:val="Compact"/>
        <w:numPr>
          <w:ilvl w:val="0"/>
          <w:numId w:val="1001"/>
        </w:numPr>
      </w:pPr>
      <w:r>
        <w:t xml:space="preserve">Competitive displacement</w:t>
      </w:r>
    </w:p>
    <w:p>
      <w:pPr>
        <w:pStyle w:val="Heading2"/>
      </w:pPr>
      <w:bookmarkStart w:id="12" w:name="_aa9359642fd76c63c900fea744a4a517800e3ac"/>
      <w:r>
        <w:t xml:space="preserve">3. Non-Negotiables</w:t>
      </w:r>
    </w:p>
    <w:p>
      <w:pPr>
        <w:pStyle w:val="Compact"/>
        <w:numPr>
          <w:ilvl w:val="0"/>
          <w:numId w:val="1002"/>
        </w:numPr>
      </w:pPr>
      <w:r>
        <w:t xml:space="preserve">No discount without written contract</w:t>
      </w:r>
    </w:p>
    <w:p>
      <w:pPr>
        <w:pStyle w:val="Compact"/>
        <w:numPr>
          <w:ilvl w:val="0"/>
          <w:numId w:val="1002"/>
        </w:numPr>
      </w:pPr>
      <w:r>
        <w:t xml:space="preserve">No retroactive discount</w:t>
      </w:r>
    </w:p>
    <w:p>
      <w:pPr>
        <w:pStyle w:val="Compact"/>
        <w:numPr>
          <w:ilvl w:val="0"/>
          <w:numId w:val="1002"/>
        </w:numPr>
      </w:pPr>
      <w:r>
        <w:t xml:space="preserve">No discount on usage-based overage</w:t>
      </w:r>
    </w:p>
    <w:p>
      <w:pPr>
        <w:pStyle w:val="Compact"/>
        <w:numPr>
          <w:ilvl w:val="0"/>
          <w:numId w:val="1002"/>
        </w:numPr>
      </w:pPr>
      <w:r>
        <w:t xml:space="preserve">No discount on professional services</w:t>
      </w:r>
    </w:p>
    <w:p>
      <w:pPr>
        <w:pStyle w:val="Compact"/>
        <w:numPr>
          <w:ilvl w:val="0"/>
          <w:numId w:val="1002"/>
        </w:numPr>
      </w:pPr>
      <w:r>
        <w:t xml:space="preserve">No free POC beyond 90 days</w:t>
      </w:r>
    </w:p>
    <w:p>
      <w:pPr>
        <w:pStyle w:val="Heading2"/>
      </w:pPr>
      <w:bookmarkStart w:id="13" w:name="_3f8467fd4a1a276d28d08af3b45cbf325e7de60"/>
      <w:r>
        <w:t xml:space="preserve">4. Price Protection</w:t>
      </w:r>
    </w:p>
    <w:p>
      <w:pPr>
        <w:pStyle w:val="Compact"/>
        <w:numPr>
          <w:ilvl w:val="0"/>
          <w:numId w:val="1003"/>
        </w:numPr>
      </w:pPr>
      <w:r>
        <w:t xml:space="preserve">Annual uplift: 3-5%</w:t>
      </w:r>
    </w:p>
    <w:p>
      <w:pPr>
        <w:pStyle w:val="Compact"/>
        <w:numPr>
          <w:ilvl w:val="0"/>
          <w:numId w:val="1003"/>
        </w:numPr>
      </w:pPr>
      <w:r>
        <w:t xml:space="preserve">CPI-linked adjustments</w:t>
      </w:r>
    </w:p>
    <w:p>
      <w:pPr>
        <w:pStyle w:val="Compact"/>
        <w:numPr>
          <w:ilvl w:val="0"/>
          <w:numId w:val="1003"/>
        </w:numPr>
      </w:pPr>
      <w:r>
        <w:t xml:space="preserve">Most Favored Customer (MFC) clause</w:t>
      </w:r>
    </w:p>
    <w:p>
      <w:r>
        <w:pict>
          <v:rect style="width:0;height:1.5pt" o:hralign="center" o:hrstd="t" o:hr="t"/>
        </w:pic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Pricing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 Discount Policy</dc:title>
  <dc:creator>HISN Platform</dc:creator>
  <cp:keywords>HISN, FCDOS, financial crime, decision operating system</cp:keywords>
  <dcterms:created xsi:type="dcterms:W3CDTF">2026-10-14T09:26:25Z</dcterms:created>
  <dcterms:modified xsi:type="dcterms:W3CDTF">2026-10-14T09:26:25Z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