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05_Market_Drivers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e30dd4dd4ad9c9664dfd4ef058a3aa0d3c658ed"/>
      <w:r>
        <w:t xml:space="preserve">MARKET DRIVERS</w:t>
      </w:r>
    </w:p>
    <w:p>
      <w:pPr>
        <w:pStyle w:val="Heading2"/>
      </w:pPr>
      <w:bookmarkStart w:id="10" w:name="_8848c02cf3fcba24d42dd99c923eb26179ed82d"/>
      <w:r>
        <w:t xml:space="preserve">1. Regulatory Drivers</w:t>
      </w:r>
    </w:p>
    <w:p>
      <w:pPr>
        <w:pStyle w:val="Heading3"/>
      </w:pPr>
      <w:bookmarkStart w:id="11" w:name="_96726542a8dd79d06b92c54187e2ce977accfd0"/>
      <w:r>
        <w:t xml:space="preserve">1.1 Vision 2030 FSDP</w:t>
      </w:r>
    </w:p>
    <w:p>
      <w:pPr>
        <w:pStyle w:val="Compact"/>
        <w:numPr>
          <w:ilvl w:val="0"/>
          <w:numId w:val="1001"/>
        </w:numPr>
      </w:pPr>
      <w:r>
        <w:t xml:space="preserve">Target: Top 10 financial sector globally</w:t>
      </w:r>
    </w:p>
    <w:p>
      <w:pPr>
        <w:pStyle w:val="Compact"/>
        <w:numPr>
          <w:ilvl w:val="0"/>
          <w:numId w:val="1001"/>
        </w:numPr>
      </w:pPr>
      <w:r>
        <w:t xml:space="preserve">Digital banking licences accelerating</w:t>
      </w:r>
    </w:p>
    <w:p>
      <w:pPr>
        <w:pStyle w:val="Compact"/>
        <w:numPr>
          <w:ilvl w:val="0"/>
          <w:numId w:val="1001"/>
        </w:numPr>
      </w:pPr>
      <w:r>
        <w:t xml:space="preserve">FinTech ecosystem expansion (371 companies)</w:t>
      </w:r>
    </w:p>
    <w:p>
      <w:pPr>
        <w:pStyle w:val="Compact"/>
        <w:numPr>
          <w:ilvl w:val="0"/>
          <w:numId w:val="1001"/>
        </w:numPr>
      </w:pPr>
      <w:r>
        <w:t xml:space="preserve">Cross-border financial integration</w:t>
      </w:r>
    </w:p>
    <w:p>
      <w:pPr>
        <w:pStyle w:val="Heading3"/>
      </w:pPr>
      <w:bookmarkStart w:id="12" w:name="_1a1e884e09451858061603700229a9c7852ca7e"/>
      <w:r>
        <w:t xml:space="preserve">1.2 SAMA Cyber Security Framework</w:t>
      </w:r>
    </w:p>
    <w:p>
      <w:pPr>
        <w:pStyle w:val="Compact"/>
        <w:numPr>
          <w:ilvl w:val="0"/>
          <w:numId w:val="1002"/>
        </w:numPr>
      </w:pPr>
      <w:r>
        <w:t xml:space="preserve">Mandatory auditable controls</w:t>
      </w:r>
    </w:p>
    <w:p>
      <w:pPr>
        <w:pStyle w:val="Compact"/>
        <w:numPr>
          <w:ilvl w:val="0"/>
          <w:numId w:val="1002"/>
        </w:numPr>
      </w:pPr>
      <w:r>
        <w:t xml:space="preserve">Third-party risk management</w:t>
      </w:r>
    </w:p>
    <w:p>
      <w:pPr>
        <w:pStyle w:val="Compact"/>
        <w:numPr>
          <w:ilvl w:val="0"/>
          <w:numId w:val="1002"/>
        </w:numPr>
      </w:pPr>
      <w:r>
        <w:t xml:space="preserve">Incident response requirements</w:t>
      </w:r>
    </w:p>
    <w:p>
      <w:pPr>
        <w:pStyle w:val="Heading3"/>
      </w:pPr>
      <w:bookmarkStart w:id="13" w:name="_288205a459924c7d9b29d324ac691fff6100102"/>
      <w:r>
        <w:t xml:space="preserve">1.3 PDPL Enforcement</w:t>
      </w:r>
    </w:p>
    <w:p>
      <w:pPr>
        <w:pStyle w:val="Compact"/>
        <w:numPr>
          <w:ilvl w:val="0"/>
          <w:numId w:val="1003"/>
        </w:numPr>
      </w:pPr>
      <w:r>
        <w:t xml:space="preserve">Data classification mandatory</w:t>
      </w:r>
    </w:p>
    <w:p>
      <w:pPr>
        <w:pStyle w:val="Compact"/>
        <w:numPr>
          <w:ilvl w:val="0"/>
          <w:numId w:val="1003"/>
        </w:numPr>
      </w:pPr>
      <w:r>
        <w:t xml:space="preserve">Consent management</w:t>
      </w:r>
    </w:p>
    <w:p>
      <w:pPr>
        <w:pStyle w:val="Compact"/>
        <w:numPr>
          <w:ilvl w:val="0"/>
          <w:numId w:val="1003"/>
        </w:numPr>
      </w:pPr>
      <w:r>
        <w:t xml:space="preserve">Breach notification (72h)</w:t>
      </w:r>
    </w:p>
    <w:p>
      <w:pPr>
        <w:pStyle w:val="Compact"/>
        <w:numPr>
          <w:ilvl w:val="0"/>
          <w:numId w:val="1003"/>
        </w:numPr>
      </w:pPr>
      <w:r>
        <w:t xml:space="preserve">Cross-border restrictions</w:t>
      </w:r>
    </w:p>
    <w:p>
      <w:pPr>
        <w:pStyle w:val="Heading3"/>
      </w:pPr>
      <w:bookmarkStart w:id="14" w:name="_95a37e36260a1ef082be2c63fbc1712e25e9f3e"/>
      <w:r>
        <w:t xml:space="preserve">1.4 AML/CFT Enhancement</w:t>
      </w:r>
    </w:p>
    <w:p>
      <w:pPr>
        <w:pStyle w:val="Compact"/>
        <w:numPr>
          <w:ilvl w:val="0"/>
          <w:numId w:val="1004"/>
        </w:numPr>
      </w:pPr>
      <w:r>
        <w:t xml:space="preserve">Risk-based approach</w:t>
      </w:r>
    </w:p>
    <w:p>
      <w:pPr>
        <w:pStyle w:val="Compact"/>
        <w:numPr>
          <w:ilvl w:val="0"/>
          <w:numId w:val="1004"/>
        </w:numPr>
      </w:pPr>
      <w:r>
        <w:t xml:space="preserve">10-year retention</w:t>
      </w:r>
    </w:p>
    <w:p>
      <w:pPr>
        <w:pStyle w:val="Compact"/>
        <w:numPr>
          <w:ilvl w:val="0"/>
          <w:numId w:val="1004"/>
        </w:numPr>
      </w:pPr>
      <w:r>
        <w:t xml:space="preserve">SAR/STR workflow</w:t>
      </w:r>
    </w:p>
    <w:p>
      <w:pPr>
        <w:pStyle w:val="Compact"/>
        <w:numPr>
          <w:ilvl w:val="0"/>
          <w:numId w:val="1004"/>
        </w:numPr>
      </w:pPr>
      <w:r>
        <w:t xml:space="preserve">Ongoing monitoring</w:t>
      </w:r>
    </w:p>
    <w:p>
      <w:pPr>
        <w:pStyle w:val="Heading2"/>
      </w:pPr>
      <w:bookmarkStart w:id="15" w:name="_d82aa2fd3cca7d5e4716df725515113930ec35e"/>
      <w:r>
        <w:t xml:space="preserve">2. Technology Drivers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Driver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adoption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AI/ML in compliance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intelligence</w:t>
            </w:r>
          </w:p>
        </w:tc>
        <w:tc>
          <w:tcPr/>
          <w:p>
            <w:pPr>
              <w:pStyle w:val="Compact"/>
            </w:pPr>
            <w:r>
              <w:t xml:space="preserve">Medium-High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API-first architecture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Multi-tenancy</w:t>
            </w:r>
          </w:p>
        </w:tc>
        <w:tc>
          <w:tcPr/>
          <w:p>
            <w:pPr>
              <w:pStyle w:val="Compact"/>
            </w:pPr>
            <w:r>
              <w:t xml:space="preserve">Medium-High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auditability</w:t>
            </w:r>
          </w:p>
        </w:tc>
        <w:tc>
          <w:tcPr/>
          <w:p>
            <w:pPr>
              <w:pStyle w:val="Compact"/>
            </w:pPr>
            <w:r>
              <w:t xml:space="preserve">Very 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Real-time processing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</w:tbl>
    <w:p>
      <w:pPr>
        <w:pStyle w:val="Heading2"/>
      </w:pPr>
      <w:bookmarkStart w:id="16" w:name="_65aa0afea1f96f04be6a589c10b13172d85bbdb"/>
      <w:r>
        <w:t xml:space="preserve">3. Operational Drivers</w:t>
      </w:r>
    </w:p>
    <w:p>
      <w:pPr>
        <w:pStyle w:val="Compact"/>
        <w:numPr>
          <w:ilvl w:val="0"/>
          <w:numId w:val="1005"/>
        </w:numPr>
      </w:pPr>
      <w:r>
        <w:t xml:space="preserve">False-positive fatigue (85-95% industry-wide)</w:t>
      </w:r>
    </w:p>
    <w:p>
      <w:pPr>
        <w:pStyle w:val="Compact"/>
        <w:numPr>
          <w:ilvl w:val="0"/>
          <w:numId w:val="1005"/>
        </w:numPr>
      </w:pPr>
      <w:r>
        <w:t xml:space="preserve">Investigator shortage</w:t>
      </w:r>
    </w:p>
    <w:p>
      <w:pPr>
        <w:pStyle w:val="Compact"/>
        <w:numPr>
          <w:ilvl w:val="0"/>
          <w:numId w:val="1005"/>
        </w:numPr>
      </w:pPr>
      <w:r>
        <w:t xml:space="preserve">Audit preparation cost</w:t>
      </w:r>
    </w:p>
    <w:p>
      <w:pPr>
        <w:pStyle w:val="Compact"/>
        <w:numPr>
          <w:ilvl w:val="0"/>
          <w:numId w:val="1005"/>
        </w:numPr>
      </w:pPr>
      <w:r>
        <w:t xml:space="preserve">Regulatory fines increasing</w:t>
      </w:r>
    </w:p>
    <w:p>
      <w:pPr>
        <w:pStyle w:val="Compact"/>
        <w:numPr>
          <w:ilvl w:val="0"/>
          <w:numId w:val="1005"/>
        </w:numPr>
      </w:pPr>
      <w:r>
        <w:t xml:space="preserve">Manual evidence collection inefficiency</w:t>
      </w:r>
    </w:p>
    <w:p>
      <w:pPr>
        <w:pStyle w:val="Heading2"/>
      </w:pPr>
      <w:bookmarkStart w:id="17" w:name="_8e0e9bed2fc2f06b4357090286fced4bb5c9ca4"/>
      <w:r>
        <w:t xml:space="preserve">4. Economic Drivers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Driver</w:t>
            </w:r>
          </w:p>
        </w:tc>
        <w:tc>
          <w:tcPr/>
          <w:p>
            <w:pPr>
              <w:pStyle w:val="Compact"/>
            </w:pPr>
            <w:r>
              <w:t xml:space="preserve">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 budget growth</w:t>
            </w:r>
          </w:p>
        </w:tc>
        <w:tc>
          <w:tcPr/>
          <w:p>
            <w:pPr>
              <w:pStyle w:val="Compact"/>
            </w:pPr>
            <w:r>
              <w:t xml:space="preserve">Increase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consolidation</w:t>
            </w:r>
          </w:p>
        </w:tc>
        <w:tc>
          <w:tcPr/>
          <w:p>
            <w:pPr>
              <w:pStyle w:val="Compact"/>
            </w:pPr>
            <w:r>
              <w:t xml:space="preserve">Increase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Local-first preference</w:t>
            </w:r>
          </w:p>
        </w:tc>
        <w:tc>
          <w:tcPr/>
          <w:p>
            <w:pPr>
              <w:pStyle w:val="Compact"/>
            </w:pPr>
            <w:r>
              <w:t xml:space="preserve">Increase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cost optimisation</w:t>
            </w:r>
          </w:p>
        </w:tc>
        <w:tc>
          <w:tcPr/>
          <w:p>
            <w:pPr>
              <w:pStyle w:val="Compact"/>
            </w:pPr>
            <w:r>
              <w:t xml:space="preserve">Increase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Subscription shift</w:t>
            </w:r>
          </w:p>
        </w:tc>
        <w:tc>
          <w:tcPr/>
          <w:p>
            <w:pPr>
              <w:pStyle w:val="Compact"/>
            </w:pPr>
            <w:r>
              <w:t xml:space="preserve">Increase</w:t>
            </w:r>
          </w:p>
        </w:tc>
      </w:tr>
    </w:tbl>
    <w:p>
      <w:pPr>
        <w:pStyle w:val="Heading2"/>
      </w:pPr>
      <w:bookmarkStart w:id="18" w:name="_d5cf490b9079b4a98ac78cdc81b953bb3c9d5fe"/>
      <w:r>
        <w:t xml:space="preserve">5. Driver Interaction Model</w:t>
      </w:r>
    </w:p>
    <w:p>
      <w:pPr>
        <w:pStyle w:val="FirstParagraph"/>
      </w:pPr>
      <w:r>
        <w:t xml:space="preserve">Regulatory Pressure + Technology Shift + Cost Pressure</w:t>
      </w:r>
      <w:r>
        <w:t xml:space="preserve"> </w:t>
      </w:r>
      <w:r>
        <w:t xml:space="preserve">→ Decision Auditability Demand</w:t>
      </w:r>
      <w:r>
        <w:t xml:space="preserve"> </w:t>
      </w:r>
      <w:r>
        <w:t xml:space="preserve">→ HISN FCDOS Opportunity</w:t>
      </w:r>
    </w:p>
    <w:p>
      <w:pPr>
        <w:pStyle w:val="BodyText"/>
      </w:pPr>
      <w:r>
        <w:t xml:space="preserve">Vision 2030 + Local-First Preference → HISN FCDOS Opportunity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Sources: SAMA, CMA, PDPL, NCA, industry analysis.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Market Drivers</dc:title>
  <dc:creator>HISN Platform</dc:creator>
  <cp:keywords>HISN, FCDOS, financial crime, decision operating system</cp:keywords>
  <dcterms:created xsi:type="dcterms:W3CDTF">2026-10-14T09:26:24Z</dcterms:created>
  <dcterms:modified xsi:type="dcterms:W3CDTF">2026-10-14T09:26:24Z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