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06_Regulatory_Landscape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f1e262b0c8d7218b614c36e425fdbae8f91b12c"/>
      <w:r>
        <w:t xml:space="preserve">REGULATORY LANDSCAPE</w:t>
      </w:r>
    </w:p>
    <w:p>
      <w:pPr>
        <w:pStyle w:val="Heading2"/>
      </w:pPr>
      <w:bookmarkStart w:id="10" w:name="_24b3d9fa6f33334ade6c68cb59e2623598f18dc"/>
      <w:r>
        <w:t xml:space="preserve">1. Regulatory Bodies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Body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Relevance to HISN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Banks, PSPs, Exchange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</w:t>
            </w:r>
          </w:p>
        </w:tc>
        <w:tc>
          <w:tcPr/>
          <w:p>
            <w:pPr>
              <w:pStyle w:val="Compact"/>
            </w:pPr>
            <w:r>
              <w:t xml:space="preserve">Capital markets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Authority</w:t>
            </w:r>
          </w:p>
        </w:tc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Direct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SDAIA</w:t>
            </w:r>
          </w:p>
        </w:tc>
        <w:tc>
          <w:tcPr/>
          <w:p>
            <w:pPr>
              <w:pStyle w:val="Compact"/>
            </w:pPr>
            <w:r>
              <w:t xml:space="preserve">Data protection, AI</w:t>
            </w:r>
          </w:p>
        </w:tc>
        <w:tc>
          <w:tcPr/>
          <w:p>
            <w:pPr>
              <w:pStyle w:val="Compact"/>
            </w:pPr>
            <w:r>
              <w:t xml:space="preserve">Direct (PDPL)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NCA</w:t>
            </w:r>
          </w:p>
        </w:tc>
        <w:tc>
          <w:tcPr/>
          <w:p>
            <w:pPr>
              <w:pStyle w:val="Compact"/>
            </w:pPr>
            <w:r>
              <w:t xml:space="preserve">Cybersecurity</w:t>
            </w:r>
          </w:p>
        </w:tc>
        <w:tc>
          <w:tcPr/>
          <w:p>
            <w:pPr>
              <w:pStyle w:val="Compact"/>
            </w:pPr>
            <w:r>
              <w:t xml:space="preserve">Direct (ECC)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ZATCA</w:t>
            </w:r>
          </w:p>
        </w:tc>
        <w:tc>
          <w:tcPr/>
          <w:p>
            <w:pPr>
              <w:pStyle w:val="Compact"/>
            </w:pPr>
            <w:r>
              <w:t xml:space="preserve">Tax</w:t>
            </w:r>
          </w:p>
        </w:tc>
        <w:tc>
          <w:tcPr/>
          <w:p>
            <w:pPr>
              <w:pStyle w:val="Compact"/>
            </w:pPr>
            <w:r>
              <w:t xml:space="preserve">Operational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MISA</w:t>
            </w:r>
          </w:p>
        </w:tc>
        <w:tc>
          <w:tcPr/>
          <w:p>
            <w:pPr>
              <w:pStyle w:val="Compact"/>
            </w:pPr>
            <w:r>
              <w:t xml:space="preserve">Investment</w:t>
            </w:r>
          </w:p>
        </w:tc>
        <w:tc>
          <w:tcPr/>
          <w:p>
            <w:pPr>
              <w:pStyle w:val="Compact"/>
            </w:pPr>
            <w:r>
              <w:t xml:space="preserve">Corporate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GOSI</w:t>
            </w:r>
          </w:p>
        </w:tc>
        <w:tc>
          <w:tcPr/>
          <w:p>
            <w:pPr>
              <w:pStyle w:val="Compact"/>
            </w:pPr>
            <w:r>
              <w:t xml:space="preserve">Labour</w:t>
            </w:r>
          </w:p>
        </w:tc>
        <w:tc>
          <w:tcPr/>
          <w:p>
            <w:pPr>
              <w:pStyle w:val="Compact"/>
            </w:pPr>
            <w:r>
              <w:t xml:space="preserve">HR</w:t>
            </w:r>
          </w:p>
        </w:tc>
      </w:tr>
    </w:tbl>
    <w:p>
      <w:pPr>
        <w:pStyle w:val="Heading2"/>
      </w:pPr>
      <w:bookmarkStart w:id="11" w:name="_6ea1c62275985c588a5ccf0dbb3defe441ed8e1"/>
      <w:r>
        <w:t xml:space="preserve">2. Key Regulations</w:t>
      </w:r>
    </w:p>
    <w:p>
      <w:pPr>
        <w:pStyle w:val="Heading3"/>
      </w:pPr>
      <w:bookmarkStart w:id="12" w:name="_de7bcd9cdc30bac06b51bde693a73a0476e3ab9"/>
      <w:r>
        <w:t xml:space="preserve">2.1 SAMA Rules</w:t>
      </w:r>
    </w:p>
    <w:p>
      <w:pPr>
        <w:pStyle w:val="Compact"/>
        <w:numPr>
          <w:ilvl w:val="0"/>
          <w:numId w:val="1001"/>
        </w:numPr>
      </w:pPr>
      <w:r>
        <w:t xml:space="preserve">AML/CFT Rules (updated 2024-2026)</w:t>
      </w:r>
    </w:p>
    <w:p>
      <w:pPr>
        <w:pStyle w:val="Compact"/>
        <w:numPr>
          <w:ilvl w:val="0"/>
          <w:numId w:val="1001"/>
        </w:numPr>
      </w:pPr>
      <w:r>
        <w:t xml:space="preserve">Cyber Security Framework</w:t>
      </w:r>
    </w:p>
    <w:p>
      <w:pPr>
        <w:pStyle w:val="Compact"/>
        <w:numPr>
          <w:ilvl w:val="0"/>
          <w:numId w:val="1001"/>
        </w:numPr>
      </w:pPr>
      <w:r>
        <w:t xml:space="preserve">Business Continuity</w:t>
      </w:r>
    </w:p>
    <w:p>
      <w:pPr>
        <w:pStyle w:val="Compact"/>
        <w:numPr>
          <w:ilvl w:val="0"/>
          <w:numId w:val="1001"/>
        </w:numPr>
      </w:pPr>
      <w:r>
        <w:t xml:space="preserve">Outsourcing Rules</w:t>
      </w:r>
    </w:p>
    <w:p>
      <w:pPr>
        <w:pStyle w:val="Compact"/>
        <w:numPr>
          <w:ilvl w:val="0"/>
          <w:numId w:val="1001"/>
        </w:numPr>
      </w:pPr>
      <w:r>
        <w:t xml:space="preserve">Open Banking Framework</w:t>
      </w:r>
    </w:p>
    <w:p>
      <w:pPr>
        <w:pStyle w:val="Heading3"/>
      </w:pPr>
      <w:bookmarkStart w:id="13" w:name="_177abb28ca2932797757fb6fb7712e68112e693"/>
      <w:r>
        <w:t xml:space="preserve">2.2 CMA Rules</w:t>
      </w:r>
    </w:p>
    <w:p>
      <w:pPr>
        <w:pStyle w:val="Compact"/>
        <w:numPr>
          <w:ilvl w:val="0"/>
          <w:numId w:val="1002"/>
        </w:numPr>
      </w:pPr>
      <w:r>
        <w:t xml:space="preserve">AML/CFT for Capital Market Institutions</w:t>
      </w:r>
    </w:p>
    <w:p>
      <w:pPr>
        <w:pStyle w:val="Compact"/>
        <w:numPr>
          <w:ilvl w:val="0"/>
          <w:numId w:val="1002"/>
        </w:numPr>
      </w:pPr>
      <w:r>
        <w:t xml:space="preserve">Cybersecurity Framework</w:t>
      </w:r>
    </w:p>
    <w:p>
      <w:pPr>
        <w:pStyle w:val="Compact"/>
        <w:numPr>
          <w:ilvl w:val="0"/>
          <w:numId w:val="1002"/>
        </w:numPr>
      </w:pPr>
      <w:r>
        <w:t xml:space="preserve">Client Asset Rules</w:t>
      </w:r>
    </w:p>
    <w:p>
      <w:pPr>
        <w:pStyle w:val="Heading3"/>
      </w:pPr>
      <w:bookmarkStart w:id="14" w:name="_pdpl"/>
      <w:r>
        <w:t xml:space="preserve">2.3 PDPL</w:t>
      </w:r>
    </w:p>
    <w:p>
      <w:pPr>
        <w:pStyle w:val="Compact"/>
        <w:numPr>
          <w:ilvl w:val="0"/>
          <w:numId w:val="1003"/>
        </w:numPr>
      </w:pPr>
      <w:r>
        <w:t xml:space="preserve">Data classification</w:t>
      </w:r>
    </w:p>
    <w:p>
      <w:pPr>
        <w:pStyle w:val="Compact"/>
        <w:numPr>
          <w:ilvl w:val="0"/>
          <w:numId w:val="1003"/>
        </w:numPr>
      </w:pPr>
      <w:r>
        <w:t xml:space="preserve">Consent</w:t>
      </w:r>
    </w:p>
    <w:p>
      <w:pPr>
        <w:pStyle w:val="Compact"/>
        <w:numPr>
          <w:ilvl w:val="0"/>
          <w:numId w:val="1003"/>
        </w:numPr>
      </w:pPr>
      <w:r>
        <w:t xml:space="preserve">Cross-border transfer</w:t>
      </w:r>
    </w:p>
    <w:p>
      <w:pPr>
        <w:pStyle w:val="Compact"/>
        <w:numPr>
          <w:ilvl w:val="0"/>
          <w:numId w:val="1003"/>
        </w:numPr>
      </w:pPr>
      <w:r>
        <w:t xml:space="preserve">Breach notification</w:t>
      </w:r>
    </w:p>
    <w:p>
      <w:pPr>
        <w:pStyle w:val="Compact"/>
        <w:numPr>
          <w:ilvl w:val="0"/>
          <w:numId w:val="1003"/>
        </w:numPr>
      </w:pPr>
      <w:r>
        <w:t xml:space="preserve">Data subject rights</w:t>
      </w:r>
    </w:p>
    <w:p>
      <w:pPr>
        <w:pStyle w:val="Heading3"/>
      </w:pPr>
      <w:bookmarkStart w:id="15" w:name="_55f5a4ec75c623a149171c396dbb97af065a2ef"/>
      <w:r>
        <w:t xml:space="preserve">2.4 NCA ECC</w:t>
      </w:r>
    </w:p>
    <w:p>
      <w:pPr>
        <w:pStyle w:val="Compact"/>
        <w:numPr>
          <w:ilvl w:val="0"/>
          <w:numId w:val="1004"/>
        </w:numPr>
      </w:pPr>
      <w:r>
        <w:t xml:space="preserve">5 domains, 100+ controls</w:t>
      </w:r>
    </w:p>
    <w:p>
      <w:pPr>
        <w:pStyle w:val="Compact"/>
        <w:numPr>
          <w:ilvl w:val="0"/>
          <w:numId w:val="1004"/>
        </w:numPr>
      </w:pPr>
      <w:r>
        <w:t xml:space="preserve">Mandatory for critical infrastructure</w:t>
      </w:r>
    </w:p>
    <w:p>
      <w:pPr>
        <w:pStyle w:val="Compact"/>
        <w:numPr>
          <w:ilvl w:val="0"/>
          <w:numId w:val="1004"/>
        </w:numPr>
      </w:pPr>
      <w:r>
        <w:t xml:space="preserve">Requires assessment</w:t>
      </w:r>
    </w:p>
    <w:p>
      <w:pPr>
        <w:pStyle w:val="Heading3"/>
      </w:pPr>
      <w:bookmarkStart w:id="16" w:name="_bc5f3890c12d0d2ea717c8b21935dd57b100d61"/>
      <w:r>
        <w:t xml:space="preserve">2.5 FATF Alignment</w:t>
      </w:r>
    </w:p>
    <w:p>
      <w:pPr>
        <w:pStyle w:val="Compact"/>
        <w:numPr>
          <w:ilvl w:val="0"/>
          <w:numId w:val="1005"/>
        </w:numPr>
      </w:pPr>
      <w:r>
        <w:t xml:space="preserve">40 Recommendations (June 2026 update)</w:t>
      </w:r>
    </w:p>
    <w:p>
      <w:pPr>
        <w:pStyle w:val="Compact"/>
        <w:numPr>
          <w:ilvl w:val="0"/>
          <w:numId w:val="1005"/>
        </w:numPr>
      </w:pPr>
      <w:r>
        <w:t xml:space="preserve">Mutual Evaluation of KSA</w:t>
      </w:r>
    </w:p>
    <w:p>
      <w:pPr>
        <w:pStyle w:val="Compact"/>
        <w:numPr>
          <w:ilvl w:val="0"/>
          <w:numId w:val="1005"/>
        </w:numPr>
      </w:pPr>
      <w:r>
        <w:t xml:space="preserve">National Risk Assessment</w:t>
      </w:r>
    </w:p>
    <w:p>
      <w:pPr>
        <w:pStyle w:val="Heading2"/>
      </w:pPr>
      <w:bookmarkStart w:id="17" w:name="_0741a45fbf467cf312b3b7858d93da9447b152e"/>
      <w:r>
        <w:t xml:space="preserve">3. Compliance Pressure by Segment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Segment</w:t>
            </w:r>
          </w:p>
        </w:tc>
        <w:tc>
          <w:tcPr/>
          <w:p>
            <w:pPr>
              <w:pStyle w:val="Compact"/>
            </w:pPr>
            <w:r>
              <w:t xml:space="preserve">SAMA</w:t>
            </w:r>
          </w:p>
        </w:tc>
        <w:tc>
          <w:tcPr/>
          <w:p>
            <w:pPr>
              <w:pStyle w:val="Compact"/>
            </w:pPr>
            <w:r>
              <w:t xml:space="preserve">CMA</w:t>
            </w:r>
          </w:p>
        </w:tc>
        <w:tc>
          <w:tcPr/>
          <w:p>
            <w:pPr>
              <w:pStyle w:val="Compact"/>
            </w:pPr>
            <w:r>
              <w:t xml:space="preserve">PDPL</w:t>
            </w:r>
          </w:p>
        </w:tc>
        <w:tc>
          <w:tcPr/>
          <w:p>
            <w:pPr>
              <w:pStyle w:val="Compact"/>
            </w:pPr>
            <w:r>
              <w:t xml:space="preserve">NCA</w:t>
            </w:r>
          </w:p>
        </w:tc>
        <w:tc>
          <w:tcPr/>
          <w:p>
            <w:pPr>
              <w:pStyle w:val="Compact"/>
            </w:pPr>
            <w:r>
              <w:t xml:space="preserve">FATF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PSPs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Asset Managers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Brokerage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Heading2"/>
      </w:pPr>
      <w:bookmarkStart w:id="18" w:name="_da8a84c9f042aed91cf1202aebd9aa4fafc0515"/>
      <w:r>
        <w:t xml:space="preserve">4. HISN Positioning (Regulatory)</w:t>
      </w:r>
    </w:p>
    <w:p>
      <w:pPr>
        <w:pStyle w:val="FirstParagraph"/>
      </w:pPr>
      <w:r>
        <w:rPr>
          <w:b/>
          <w:bCs/>
        </w:rPr>
        <w:t xml:space="preserve">What HISN IS:</w:t>
      </w:r>
      <w:r>
        <w:t xml:space="preserve"> </w:t>
      </w:r>
      <w:r>
        <w:t xml:space="preserve">- Designed for regulatory alignment</w:t>
      </w:r>
      <w:r>
        <w:t xml:space="preserve"> </w:t>
      </w:r>
      <w:r>
        <w:t xml:space="preserve">- Control-mapped to SAMA/CMA/NCA/PDPL</w:t>
      </w:r>
      <w:r>
        <w:t xml:space="preserve"> </w:t>
      </w:r>
      <w:r>
        <w:t xml:space="preserve">- Audit-grade evidence and decision lineage</w:t>
      </w:r>
      <w:r>
        <w:t xml:space="preserve"> </w:t>
      </w:r>
      <w:r>
        <w:t xml:space="preserve">- Vendor-neutral technology provider</w:t>
      </w:r>
    </w:p>
    <w:p>
      <w:pPr>
        <w:pStyle w:val="BodyText"/>
      </w:pPr>
      <w:r>
        <w:rPr>
          <w:b/>
          <w:bCs/>
        </w:rPr>
        <w:t xml:space="preserve">What HISN is NOT:</w:t>
      </w:r>
      <w:r>
        <w:t xml:space="preserve"> </w:t>
      </w:r>
      <w:r>
        <w:t xml:space="preserve">- Not SAMA-certified</w:t>
      </w:r>
      <w:r>
        <w:t xml:space="preserve"> </w:t>
      </w:r>
      <w:r>
        <w:t xml:space="preserve">- Not CMA-approved</w:t>
      </w:r>
      <w:r>
        <w:t xml:space="preserve"> </w:t>
      </w:r>
      <w:r>
        <w:t xml:space="preserve">- Not a regulator</w:t>
      </w:r>
      <w:r>
        <w:t xml:space="preserve"> </w:t>
      </w:r>
      <w:r>
        <w:t xml:space="preserve">- Not a licensed financial institution</w:t>
      </w:r>
    </w:p>
    <w:p>
      <w:pPr>
        <w:pStyle w:val="Heading2"/>
      </w:pPr>
      <w:bookmarkStart w:id="19" w:name="_a8463155ad23424adb705f6047895105713b1e5"/>
      <w:r>
        <w:t xml:space="preserve">5. Regulatory Mapping Model</w:t>
      </w:r>
    </w:p>
    <w:p>
      <w:pPr>
        <w:pStyle w:val="FirstParagraph"/>
      </w:pPr>
      <w:r>
        <w:t xml:space="preserve">Requirement → HISN Control → Implementation → Repository Artifact → Executable Test → Runtime Evidence → Residual Gap Register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This document describes alignment intent, not certification.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Market Intelligence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 Regulatory Landscape</dc:title>
  <dc:creator>HISN Platform</dc:creator>
  <cp:keywords>HISN, FCDOS, financial crime, decision operating system</cp:keywords>
  <dcterms:created xsi:type="dcterms:W3CDTF">2026-10-14T09:26:24Z</dcterms:created>
  <dcterms:modified xsi:type="dcterms:W3CDTF">2026-10-14T09:26:24Z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