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01_KSA_Regulatory_Position</w:t>
      </w:r>
    </w:p>
    <w:p>
      <w:pPr>
        <w:pStyle w:val="Heading1"/>
      </w:pPr>
      <w:bookmarkStart w:id="19" w:name="_65bf6b87151a8154104d8ba94699d88033b9baf"/>
      <w:r>
        <w:t xml:space="preserve">KSA Regulatory Position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Legal &amp; Compliance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KSA Regulatory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Legal &amp;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SAMA, CMA, IA, NCA, SDAIA official sources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formal regulatory engagement. No certification obtained.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f1e262b0c8d7218b614c36e425fdbae8f91b12c"/>
      <w:r>
        <w:t xml:space="preserve">1. Regulatory Landscape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Relevance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Banks, PSPs, Exchange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</w:t>
            </w:r>
          </w:p>
        </w:tc>
        <w:tc>
          <w:tcPr/>
          <w:p>
            <w:pPr>
              <w:pStyle w:val="Compact"/>
            </w:pPr>
            <w:r>
              <w:t xml:space="preserve">Capital markets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Authority</w:t>
            </w:r>
          </w:p>
        </w:tc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SDAIA</w:t>
            </w:r>
          </w:p>
        </w:tc>
        <w:tc>
          <w:tcPr/>
          <w:p>
            <w:pPr>
              <w:pStyle w:val="Compact"/>
            </w:pPr>
            <w:r>
              <w:t xml:space="preserve">Data protection (PDPL)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NCA</w:t>
            </w:r>
          </w:p>
        </w:tc>
        <w:tc>
          <w:tcPr/>
          <w:p>
            <w:pPr>
              <w:pStyle w:val="Compact"/>
            </w:pPr>
            <w:r>
              <w:t xml:space="preserve">Cybersecurity (ECC)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  <w:r>
              <w:t xml:space="preserve">Operational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</w:t>
            </w:r>
          </w:p>
        </w:tc>
        <w:tc>
          <w:tcPr/>
          <w:p>
            <w:pPr>
              <w:pStyle w:val="Compact"/>
            </w:pPr>
            <w:r>
              <w:t xml:space="preserve">Investment</w:t>
            </w:r>
          </w:p>
        </w:tc>
        <w:tc>
          <w:tcPr/>
          <w:p>
            <w:pPr>
              <w:pStyle w:val="Compact"/>
            </w:pPr>
            <w:r>
              <w:t xml:space="preserve">Corporate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EXTERNAL FACT — Tier 1 sources.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ef086789e471f7daa5ca9a9fedb0fe7687230b2"/>
      <w:r>
        <w:t xml:space="preserve">2. HISN’s Regulatory Position</w:t>
      </w:r>
    </w:p>
    <w:p>
      <w:pPr>
        <w:pStyle w:val="FirstParagraph"/>
      </w:pPr>
      <w:r>
        <w:rPr>
          <w:b/>
          <w:bCs/>
        </w:rPr>
        <w:t xml:space="preserve">HISN IS:</w:t>
      </w:r>
      <w:r>
        <w:t xml:space="preserve"> </w:t>
      </w:r>
      <w:r>
        <w:t xml:space="preserve">- A technology provider</w:t>
      </w:r>
      <w:r>
        <w:t xml:space="preserve"> </w:t>
      </w:r>
      <w:r>
        <w:t xml:space="preserve">- Designed for alignment with SAMA/CMA/NCA/PDPL</w:t>
      </w:r>
      <w:r>
        <w:t xml:space="preserve"> </w:t>
      </w:r>
      <w:r>
        <w:t xml:space="preserve">- Audit-grade evidence and decision lineage</w:t>
      </w:r>
      <w:r>
        <w:t xml:space="preserve"> </w:t>
      </w:r>
      <w:r>
        <w:t xml:space="preserve">- Vendor-neutral</w:t>
      </w:r>
    </w:p>
    <w:p>
      <w:pPr>
        <w:pStyle w:val="BodyText"/>
      </w:pPr>
      <w:r>
        <w:rPr>
          <w:b/>
          <w:bCs/>
        </w:rPr>
        <w:t xml:space="preserve">HISN IS NOT:</w:t>
      </w:r>
      <w:r>
        <w:t xml:space="preserve"> </w:t>
      </w:r>
      <w:r>
        <w:t xml:space="preserve">- SAMA-certified</w:t>
      </w:r>
      <w:r>
        <w:t xml:space="preserve"> </w:t>
      </w:r>
      <w:r>
        <w:t xml:space="preserve">- CMA-approved</w:t>
      </w:r>
      <w:r>
        <w:t xml:space="preserve"> </w:t>
      </w:r>
      <w:r>
        <w:t xml:space="preserve">- A licensed financial institution</w:t>
      </w:r>
      <w:r>
        <w:t xml:space="preserve"> </w:t>
      </w:r>
      <w:r>
        <w:t xml:space="preserve">- A regulator</w:t>
      </w:r>
    </w:p>
    <w:p>
      <w:pPr>
        <w:pStyle w:val="BodyText"/>
      </w:pPr>
      <w:r>
        <w:rPr>
          <w:b/>
          <w:bCs/>
        </w:rPr>
        <w:t xml:space="preserve">No regulatory approval or certification has been obtained or claimed.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6ea1c62275985c588a5ccf0dbb3defe441ed8e1"/>
      <w:r>
        <w:t xml:space="preserve">3. Key Regulations</w:t>
      </w:r>
    </w:p>
    <w:p>
      <w:pPr>
        <w:pStyle w:val="Heading3"/>
      </w:pPr>
      <w:bookmarkStart w:id="24" w:name="_ce1ba0261c4924d6432f13f96e81e65bae69a71"/>
      <w:r>
        <w:t xml:space="preserve">3.1 SAMA Cyber Security Framework (SAMA CSF)</w:t>
      </w:r>
    </w:p>
    <w:p>
      <w:pPr>
        <w:pStyle w:val="Compact"/>
        <w:numPr>
          <w:ilvl w:val="0"/>
          <w:numId w:val="1001"/>
        </w:numPr>
      </w:pPr>
      <w:r>
        <w:t xml:space="preserve">Mandatory for SAMA-supervised entities</w:t>
      </w:r>
    </w:p>
    <w:p>
      <w:pPr>
        <w:pStyle w:val="Compact"/>
        <w:numPr>
          <w:ilvl w:val="0"/>
          <w:numId w:val="1001"/>
        </w:numPr>
      </w:pPr>
      <w:r>
        <w:t xml:space="preserve">Uses 0-5 maturity model</w:t>
      </w:r>
    </w:p>
    <w:p>
      <w:pPr>
        <w:pStyle w:val="Compact"/>
        <w:numPr>
          <w:ilvl w:val="0"/>
          <w:numId w:val="1001"/>
        </w:numPr>
      </w:pPr>
      <w:r>
        <w:t xml:space="preserve">Requires auditable technology controls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HISN Status:</w:t>
      </w:r>
      <w:r>
        <w:t xml:space="preserve"> </w:t>
      </w:r>
      <w:r>
        <w:t xml:space="preserve">Designed for alignment; no certification</w:t>
      </w:r>
    </w:p>
    <w:p>
      <w:pPr>
        <w:pStyle w:val="Heading3"/>
      </w:pPr>
      <w:bookmarkStart w:id="25" w:name="_6919e0186c9e55c5c871c049d2a450e7d8a348c"/>
      <w:r>
        <w:t xml:space="preserve">3.2 Personal Data Protection Law (PDPL)</w:t>
      </w:r>
    </w:p>
    <w:p>
      <w:pPr>
        <w:pStyle w:val="Compact"/>
        <w:numPr>
          <w:ilvl w:val="0"/>
          <w:numId w:val="1002"/>
        </w:numPr>
      </w:pPr>
      <w:r>
        <w:t xml:space="preserve">Governs personal data processing</w:t>
      </w:r>
    </w:p>
    <w:p>
      <w:pPr>
        <w:pStyle w:val="Compact"/>
        <w:numPr>
          <w:ilvl w:val="0"/>
          <w:numId w:val="1002"/>
        </w:numPr>
      </w:pPr>
      <w:r>
        <w:t xml:space="preserve">Requires data classification, consent, breach notification</w:t>
      </w:r>
    </w:p>
    <w:p>
      <w:pPr>
        <w:pStyle w:val="Compact"/>
        <w:numPr>
          <w:ilvl w:val="0"/>
          <w:numId w:val="1002"/>
        </w:numPr>
      </w:pPr>
      <w:r>
        <w:t xml:space="preserve">Data residency and cross-border transfer restrictions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HISN Status:</w:t>
      </w:r>
      <w:r>
        <w:t xml:space="preserve"> </w:t>
      </w:r>
      <w:r>
        <w:t xml:space="preserve">Designed for alignment; KSA residency option available</w:t>
      </w:r>
    </w:p>
    <w:p>
      <w:pPr>
        <w:pStyle w:val="Heading3"/>
      </w:pPr>
      <w:bookmarkStart w:id="26" w:name="_9eb0d956c195d9bb40676d864c8f207bec64693"/>
      <w:r>
        <w:t xml:space="preserve">3.3 NCA Essential Cybersecurity Controls (ECC)</w:t>
      </w:r>
    </w:p>
    <w:p>
      <w:pPr>
        <w:pStyle w:val="Compact"/>
        <w:numPr>
          <w:ilvl w:val="0"/>
          <w:numId w:val="1003"/>
        </w:numPr>
      </w:pPr>
      <w:r>
        <w:t xml:space="preserve">Baseline cybersecurity requirements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HISN Status:</w:t>
      </w:r>
      <w:r>
        <w:t xml:space="preserve"> </w:t>
      </w:r>
      <w:r>
        <w:t xml:space="preserve">Control mapping available; no certification</w:t>
      </w:r>
    </w:p>
    <w:p>
      <w:pPr>
        <w:pStyle w:val="Heading3"/>
      </w:pPr>
      <w:bookmarkStart w:id="27" w:name="_1cdc9e09f175d15d8e258474abef2e7743ca37d"/>
      <w:r>
        <w:t xml:space="preserve">3.4 AML/CFT Rules</w:t>
      </w:r>
    </w:p>
    <w:p>
      <w:pPr>
        <w:pStyle w:val="Compact"/>
        <w:numPr>
          <w:ilvl w:val="0"/>
          <w:numId w:val="1004"/>
        </w:numPr>
      </w:pPr>
      <w:r>
        <w:t xml:space="preserve">10-year record retention</w:t>
      </w:r>
    </w:p>
    <w:p>
      <w:pPr>
        <w:pStyle w:val="Compact"/>
        <w:numPr>
          <w:ilvl w:val="0"/>
          <w:numId w:val="1004"/>
        </w:numPr>
      </w:pPr>
      <w:r>
        <w:t xml:space="preserve">Risk-based approach</w:t>
      </w:r>
    </w:p>
    <w:p>
      <w:pPr>
        <w:pStyle w:val="Compact"/>
        <w:numPr>
          <w:ilvl w:val="0"/>
          <w:numId w:val="1004"/>
        </w:numPr>
      </w:pPr>
      <w:r>
        <w:t xml:space="preserve">SAR/STR workflow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HISN Status:</w:t>
      </w:r>
      <w:r>
        <w:t xml:space="preserve"> </w:t>
      </w:r>
      <w:r>
        <w:t xml:space="preserve">Platform supports; customer remains responsible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15d9a0f9c72ed684550e62a0d9a319da9e07d67"/>
      <w:r>
        <w:t xml:space="preserve">4. Compliance Gaps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formal regulatory engagement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SAMA CSF certification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independent compliance review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formal sandbox application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df9c5e5248b81f3373b27d9fe93ec61911faa77"/>
      <w:r>
        <w:t xml:space="preserve">5. Recommended Next Steps</w:t>
      </w:r>
    </w:p>
    <w:p>
      <w:pPr>
        <w:pStyle w:val="Compact"/>
        <w:numPr>
          <w:ilvl w:val="0"/>
          <w:numId w:val="1005"/>
        </w:numPr>
      </w:pPr>
      <w:r>
        <w:t xml:space="preserve">Engage with SAMA Regulatory Sandbox (feasibility assessment)</w:t>
      </w:r>
    </w:p>
    <w:p>
      <w:pPr>
        <w:pStyle w:val="Compact"/>
        <w:numPr>
          <w:ilvl w:val="0"/>
          <w:numId w:val="1005"/>
        </w:numPr>
      </w:pPr>
      <w:r>
        <w:t xml:space="preserve">Conduct independent compliance review</w:t>
      </w:r>
    </w:p>
    <w:p>
      <w:pPr>
        <w:pStyle w:val="Compact"/>
        <w:numPr>
          <w:ilvl w:val="0"/>
          <w:numId w:val="1005"/>
        </w:numPr>
      </w:pPr>
      <w:r>
        <w:t xml:space="preserve">Complete SAMA CSF control mapping</w:t>
      </w:r>
    </w:p>
    <w:p>
      <w:pPr>
        <w:pStyle w:val="Compact"/>
        <w:numPr>
          <w:ilvl w:val="0"/>
          <w:numId w:val="1005"/>
        </w:numPr>
      </w:pPr>
      <w:r>
        <w:t xml:space="preserve">Obtain PDPL data residency documentation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disclaimer"/>
      <w:r>
        <w:t xml:space="preserve">6. Disclaimer</w:t>
      </w:r>
    </w:p>
    <w:p>
      <w:pPr>
        <w:pStyle w:val="FirstParagraph"/>
      </w:pPr>
      <w:r>
        <w:t xml:space="preserve">This KSA Regulatory Position reflects HISN’s understanding of the Saudi regulatory landscape as of October 2026. It does not constitute legal advice.</w:t>
      </w:r>
      <w:r>
        <w:t xml:space="preserve"> </w:t>
      </w:r>
      <w:r>
        <w:rPr>
          <w:b/>
          <w:bCs/>
        </w:rPr>
        <w:t xml:space="preserve">No regulatory approval, certification, or license has been obtained.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KSA Regulatory Position</dc:title>
  <dc:creator>HISN Platform</dc:creator>
  <cp:keywords>HISN, FCDOS, financial crime, decision operating system</cp:keywords>
  <dcterms:created xsi:type="dcterms:W3CDTF">2026-10-14T13:16:31Z</dcterms:created>
  <dcterms:modified xsi:type="dcterms:W3CDTF">2026-10-14T13:16:31Z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