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FATF ALIGNMENT</w:t>
      </w:r>
    </w:p>
    <w:p>
      <w:pPr>
        <w:pStyle w:val="BodyText"/>
      </w:pPr>
      <w:r>
        <w:rPr>
          <w:b/>
          <w:bCs/>
        </w:rPr>
        <w:t xml:space="preserve">40 Recommendations (amended June 2026)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HISN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R.10</w:t>
            </w:r>
          </w:p>
        </w:tc>
        <w:tc>
          <w:tcPr/>
          <w:p>
            <w:pPr>
              <w:pStyle w:val="Compact"/>
            </w:pPr>
            <w:r>
              <w:t xml:space="preserve">CDD</w:t>
            </w:r>
          </w:p>
        </w:tc>
        <w:tc>
          <w:tcPr/>
          <w:p>
            <w:pPr>
              <w:pStyle w:val="Compact"/>
            </w:pPr>
            <w:r>
              <w:t xml:space="preserve">KYC/KYB engines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R.11</w:t>
            </w:r>
          </w:p>
        </w:tc>
        <w:tc>
          <w:tcPr/>
          <w:p>
            <w:pPr>
              <w:pStyle w:val="Compact"/>
            </w:pPr>
            <w:r>
              <w:t xml:space="preserve">Record Keeping</w:t>
            </w:r>
          </w:p>
        </w:tc>
        <w:tc>
          <w:tcPr/>
          <w:p>
            <w:pPr>
              <w:pStyle w:val="Compact"/>
            </w:pPr>
            <w:r>
              <w:t xml:space="preserve">Evidence + Audit + DNA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R.12</w:t>
            </w:r>
          </w:p>
        </w:tc>
        <w:tc>
          <w:tcPr/>
          <w:p>
            <w:pPr>
              <w:pStyle w:val="Compact"/>
            </w:pPr>
            <w:r>
              <w:t xml:space="preserve">PEP</w:t>
            </w:r>
          </w:p>
        </w:tc>
        <w:tc>
          <w:tcPr/>
          <w:p>
            <w:pPr>
              <w:pStyle w:val="Compact"/>
            </w:pPr>
            <w:r>
              <w:t xml:space="preserve">PEP capability (partial)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R.15</w:t>
            </w:r>
          </w:p>
        </w:tc>
        <w:tc>
          <w:tcPr/>
          <w:p>
            <w:pPr>
              <w:pStyle w:val="Compact"/>
            </w:pPr>
            <w:r>
              <w:t xml:space="preserve">New Tech</w:t>
            </w:r>
          </w:p>
        </w:tc>
        <w:tc>
          <w:tcPr/>
          <w:p>
            <w:pPr>
              <w:pStyle w:val="Compact"/>
            </w:pPr>
            <w:r>
              <w:t xml:space="preserve">Risk-based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R.16</w:t>
            </w:r>
          </w:p>
        </w:tc>
        <w:tc>
          <w:tcPr/>
          <w:p>
            <w:pPr>
              <w:pStyle w:val="Compact"/>
            </w:pPr>
            <w:r>
              <w:t xml:space="preserve">Wire Transfers</w:t>
            </w:r>
          </w:p>
        </w:tc>
        <w:tc>
          <w:tcPr/>
          <w:p>
            <w:pPr>
              <w:pStyle w:val="Compact"/>
            </w:pPr>
            <w:r>
              <w:t xml:space="preserve">Remittance support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R.17</w:t>
            </w:r>
          </w:p>
        </w:tc>
        <w:tc>
          <w:tcPr/>
          <w:p>
            <w:pPr>
              <w:pStyle w:val="Compact"/>
            </w:pPr>
            <w:r>
              <w:t xml:space="preserve">Third Parties</w:t>
            </w:r>
          </w:p>
        </w:tc>
        <w:tc>
          <w:tcPr/>
          <w:p>
            <w:pPr>
              <w:pStyle w:val="Compact"/>
            </w:pPr>
            <w:r>
              <w:t xml:space="preserve">TSP control plane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R.18</w:t>
            </w:r>
          </w:p>
        </w:tc>
        <w:tc>
          <w:tcPr/>
          <w:p>
            <w:pPr>
              <w:pStyle w:val="Compact"/>
            </w:pPr>
            <w:r>
              <w:t xml:space="preserve">Internal Controls</w:t>
            </w:r>
          </w:p>
        </w:tc>
        <w:tc>
          <w:tcPr/>
          <w:p>
            <w:pPr>
              <w:pStyle w:val="Compact"/>
            </w:pPr>
            <w:r>
              <w:t xml:space="preserve">Governance + audit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R.19</w:t>
            </w:r>
          </w:p>
        </w:tc>
        <w:tc>
          <w:tcPr/>
          <w:p>
            <w:pPr>
              <w:pStyle w:val="Compact"/>
            </w:pPr>
            <w:r>
              <w:t xml:space="preserve">High-Risk Countries</w:t>
            </w:r>
          </w:p>
        </w:tc>
        <w:tc>
          <w:tcPr/>
          <w:p>
            <w:pPr>
              <w:pStyle w:val="Compact"/>
            </w:pPr>
            <w:r>
              <w:t xml:space="preserve">Country rules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R.20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SAR/STR workflow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R.21</w:t>
            </w:r>
          </w:p>
        </w:tc>
        <w:tc>
          <w:tcPr/>
          <w:p>
            <w:pPr>
              <w:pStyle w:val="Compact"/>
            </w:pPr>
            <w:r>
              <w:t xml:space="preserve">Tipping Off</w:t>
            </w:r>
          </w:p>
        </w:tc>
        <w:tc>
          <w:tcPr/>
          <w:p>
            <w:pPr>
              <w:pStyle w:val="Compact"/>
            </w:pPr>
            <w:r>
              <w:t xml:space="preserve">RBAC + confidentiality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Disclaimer:</w:t>
      </w:r>
      <w:r>
        <w:t xml:space="preserve"> </w:t>
      </w:r>
      <w:r>
        <w:t xml:space="preserve">Designed for alignment — NOT certified.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Regulatory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FATF Alignment</dc:title>
  <dc:creator>HISN Platform</dc:creator>
  <cp:keywords>HISN, FCDOS, financial crime, decision operating system</cp:keywords>
  <dcterms:created xsi:type="dcterms:W3CDTF">2026-10-13T13:04:11Z</dcterms:created>
  <dcterms:modified xsi:type="dcterms:W3CDTF">2026-10-13T13:04:11Z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