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MISA REQUIREMENTS</w:t>
      </w:r>
    </w:p>
    <w:p>
      <w:pPr>
        <w:pStyle w:val="Heading2"/>
      </w:pPr>
      <w:bookmarkStart w:id="9" w:name="_bc266b9d1e3b74669dfb8cfdaecfdebbfa31234"/>
      <w:r>
        <w:t xml:space="preserve">1. Foreign Investment</w:t>
      </w:r>
    </w:p>
    <w:p>
      <w:pPr>
        <w:pStyle w:val="FirstParagraph"/>
      </w:pPr>
      <w:r>
        <w:t xml:space="preserve">MISA license required</w:t>
      </w:r>
    </w:p>
    <w:p>
      <w:pPr>
        <w:pStyle w:val="Heading2"/>
      </w:pPr>
      <w:bookmarkStart w:id="10" w:name="_c9e60ad1813f7197e667382b93f7a8918f27cda"/>
      <w:r>
        <w:t xml:space="preserve">2. Entity Structure</w:t>
      </w:r>
    </w:p>
    <w:p>
      <w:pPr>
        <w:pStyle w:val="FirstParagraph"/>
      </w:pPr>
      <w:r>
        <w:t xml:space="preserve">LLC / JSC / Branch</w:t>
      </w:r>
    </w:p>
    <w:p>
      <w:pPr>
        <w:pStyle w:val="Heading2"/>
      </w:pPr>
      <w:bookmarkStart w:id="11" w:name="_capital"/>
      <w:r>
        <w:t xml:space="preserve">3. Capital</w:t>
      </w:r>
    </w:p>
    <w:p>
      <w:pPr>
        <w:pStyle w:val="FirstParagraph"/>
      </w:pPr>
      <w:r>
        <w:t xml:space="preserve">Min SAR 500K (services)</w:t>
      </w:r>
    </w:p>
    <w:p>
      <w:pPr>
        <w:pStyle w:val="Heading2"/>
      </w:pPr>
      <w:bookmarkStart w:id="12" w:name="_documentation"/>
      <w:r>
        <w:t xml:space="preserve">4. Documentation</w:t>
      </w:r>
    </w:p>
    <w:p>
      <w:pPr>
        <w:pStyle w:val="Compact"/>
        <w:numPr>
          <w:ilvl w:val="0"/>
          <w:numId w:val="1001"/>
        </w:numPr>
      </w:pPr>
      <w:r>
        <w:t xml:space="preserve">MISA application</w:t>
      </w:r>
    </w:p>
    <w:p>
      <w:pPr>
        <w:pStyle w:val="Compact"/>
        <w:numPr>
          <w:ilvl w:val="0"/>
          <w:numId w:val="1002"/>
        </w:numPr>
      </w:pPr>
      <w:r>
        <w:t xml:space="preserve">CR</w:t>
      </w:r>
    </w:p>
    <w:p>
      <w:pPr>
        <w:pStyle w:val="Compact"/>
        <w:numPr>
          <w:ilvl w:val="0"/>
          <w:numId w:val="1003"/>
        </w:numPr>
      </w:pPr>
      <w:r>
        <w:t xml:space="preserve">Chamber of Commerce</w:t>
      </w:r>
    </w:p>
    <w:p>
      <w:pPr>
        <w:pStyle w:val="Compact"/>
        <w:numPr>
          <w:ilvl w:val="0"/>
          <w:numId w:val="1004"/>
        </w:numPr>
      </w:pPr>
      <w:r>
        <w:t xml:space="preserve">ZATCA</w:t>
      </w:r>
    </w:p>
    <w:p>
      <w:pPr>
        <w:pStyle w:val="Compact"/>
        <w:numPr>
          <w:ilvl w:val="0"/>
          <w:numId w:val="1005"/>
        </w:numPr>
      </w:pPr>
      <w:r>
        <w:t xml:space="preserve">GOSI</w:t>
      </w:r>
    </w:p>
    <w:p>
      <w:pPr>
        <w:pStyle w:val="Compact"/>
        <w:numPr>
          <w:ilvl w:val="0"/>
          <w:numId w:val="1006"/>
        </w:numPr>
      </w:pPr>
      <w:r>
        <w:t xml:space="preserve">Saudization plan</w:t>
      </w:r>
    </w:p>
    <w:p>
      <w:pPr>
        <w:pStyle w:val="Heading2"/>
      </w:pPr>
      <w:bookmarkStart w:id="13" w:name="_ongoing"/>
      <w:r>
        <w:t xml:space="preserve">5. Ongoing</w:t>
      </w:r>
    </w:p>
    <w:p>
      <w:pPr>
        <w:pStyle w:val="Compact"/>
        <w:numPr>
          <w:ilvl w:val="0"/>
          <w:numId w:val="1007"/>
        </w:numPr>
      </w:pPr>
      <w:r>
        <w:t xml:space="preserve">Annual MISA renewal / CR renewal / Saudization / GOSI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Regulatory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MISA Requirements</dc:title>
  <dc:creator>HISN Platform</dc:creator>
  <cp:keywords>HISN, FCDOS, financial crime, decision operating system</cp:keywords>
  <dcterms:created xsi:type="dcterms:W3CDTF">2026-10-13T13:04:12Z</dcterms:created>
  <dcterms:modified xsi:type="dcterms:W3CDTF">2026-10-13T13:04:12Z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