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NCA ECC ALIGNMENT</w:t>
      </w:r>
    </w:p>
    <w:p>
      <w:pPr>
        <w:pStyle w:val="Heading2"/>
      </w:pPr>
      <w:bookmarkStart w:id="9" w:name="_governance"/>
      <w:r>
        <w:t xml:space="preserve">1. Governance</w:t>
      </w:r>
    </w:p>
    <w:p>
      <w:pPr>
        <w:pStyle w:val="FirstParagraph"/>
      </w:pPr>
      <w:r>
        <w:t xml:space="preserve">1-1-1 Cyber strategy ✅ | 1-1-2 Roles ✅ | 1-2-1 Policies ✅ | 1-3-1 Risk ✅</w:t>
      </w:r>
    </w:p>
    <w:p>
      <w:pPr>
        <w:pStyle w:val="Heading2"/>
      </w:pPr>
      <w:bookmarkStart w:id="10" w:name="_defense"/>
      <w:r>
        <w:t xml:space="preserve">2. Defense</w:t>
      </w:r>
    </w:p>
    <w:p>
      <w:pPr>
        <w:pStyle w:val="FirstParagraph"/>
      </w:pPr>
      <w:r>
        <w:t xml:space="preserve">2-2-1 Assets ✅ | 2-3-1 Access ✅ | 2-3-3 Privileged 🟡 | 2-4-1 Encryption ✅</w:t>
      </w:r>
      <w:r>
        <w:t xml:space="preserve"> </w:t>
      </w:r>
      <w:r>
        <w:t xml:space="preserve">2-5-1 Network ✅ | 2-6-1 Logging ✅ | 2-7-1 Vuln 🟡</w:t>
      </w:r>
    </w:p>
    <w:p>
      <w:pPr>
        <w:pStyle w:val="Heading2"/>
      </w:pPr>
      <w:bookmarkStart w:id="11" w:name="_resilience"/>
      <w:r>
        <w:t xml:space="preserve">3. Resilience</w:t>
      </w:r>
    </w:p>
    <w:p>
      <w:pPr>
        <w:pStyle w:val="FirstParagraph"/>
      </w:pPr>
      <w:r>
        <w:t xml:space="preserve">3-1-1 Backup 🟡 | 3-2-1 DR 🟡 | 3-3-1 IR 🟡</w:t>
      </w:r>
    </w:p>
    <w:p>
      <w:pPr>
        <w:pStyle w:val="Heading2"/>
      </w:pPr>
      <w:bookmarkStart w:id="12" w:name="_27deb66bcd01342a3df78b2190e8adbdc1219d6"/>
      <w:r>
        <w:t xml:space="preserve">4. Third-Party</w:t>
      </w:r>
    </w:p>
    <w:p>
      <w:pPr>
        <w:pStyle w:val="FirstParagraph"/>
      </w:pPr>
      <w:r>
        <w:t xml:space="preserve">4-1-1 Policy ✅ | 4-2-1 Contracts ✅</w:t>
      </w:r>
    </w:p>
    <w:p>
      <w:pPr>
        <w:pStyle w:val="Heading2"/>
      </w:pPr>
      <w:bookmarkStart w:id="13" w:name="_ics"/>
      <w:r>
        <w:t xml:space="preserve">5. ICS</w:t>
      </w:r>
    </w:p>
    <w:p>
      <w:pPr>
        <w:pStyle w:val="FirstParagraph"/>
      </w:pPr>
      <w:r>
        <w:t xml:space="preserve">N/A</w:t>
      </w:r>
    </w:p>
    <w:p>
      <w:pPr>
        <w:pStyle w:val="Heading2"/>
      </w:pPr>
      <w:bookmarkStart w:id="14" w:name="_gaps"/>
      <w:r>
        <w:t xml:space="preserve">Gaps</w:t>
      </w:r>
    </w:p>
    <w:p>
      <w:pPr>
        <w:pStyle w:val="FirstParagraph"/>
      </w:pPr>
      <w:r>
        <w:t xml:space="preserve">Privileged access, backup/DR, SIEM, independent validation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Regulatory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NCA ECC Alignment</dc:title>
  <dc:creator>HISN Platform</dc:creator>
  <cp:keywords>HISN, FCDOS, financial crime, decision operating system</cp:keywords>
  <dcterms:created xsi:type="dcterms:W3CDTF">2026-10-13T13:04:12Z</dcterms:created>
  <dcterms:modified xsi:type="dcterms:W3CDTF">2026-10-13T13:04:12Z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