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PDPL COMPLIANCE STATEMENT</w:t>
      </w:r>
    </w:p>
    <w:p>
      <w:pPr>
        <w:pStyle w:val="BodyText"/>
      </w:pPr>
      <w:r>
        <w:rPr>
          <w:b/>
          <w:bCs/>
        </w:rPr>
        <w:t xml:space="preserve">Regulator:</w:t>
      </w:r>
      <w:r>
        <w:t xml:space="preserve"> </w:t>
      </w:r>
      <w:r>
        <w:t xml:space="preserve">SDAIA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13 Oct 2026</w:t>
      </w:r>
    </w:p>
    <w:p>
      <w:pPr>
        <w:pStyle w:val="Heading2"/>
      </w:pPr>
      <w:bookmarkStart w:id="9" w:name="_5dac228deae15c00b93b208e4abde648e6cb6c9"/>
      <w:r>
        <w:t xml:space="preserve">1. Data Classification</w:t>
      </w:r>
    </w:p>
    <w:p>
      <w:pPr>
        <w:pStyle w:val="FirstParagraph"/>
      </w:pPr>
      <w:r>
        <w:t xml:space="preserve">Personal / Sensitive / Business</w:t>
      </w:r>
    </w:p>
    <w:p>
      <w:pPr>
        <w:pStyle w:val="Heading2"/>
      </w:pPr>
      <w:bookmarkStart w:id="10" w:name="_e5555bbcc27f58f53e0e544d5727e054b890d07"/>
      <w:r>
        <w:t xml:space="preserve">2. Lawful Basis</w:t>
      </w:r>
    </w:p>
    <w:p>
      <w:pPr>
        <w:pStyle w:val="FirstParagraph"/>
      </w:pPr>
      <w:r>
        <w:t xml:space="preserve">Contract, legal obligation, legitimate interest, consent</w:t>
      </w:r>
    </w:p>
    <w:p>
      <w:pPr>
        <w:pStyle w:val="Heading2"/>
      </w:pPr>
      <w:bookmarkStart w:id="11" w:name="_fac641d1ae2a1db34c7d3da5ab9c4dc75339488"/>
      <w:r>
        <w:t xml:space="preserve">3. Data Subject Rights</w:t>
      </w:r>
    </w:p>
    <w:p>
      <w:pPr>
        <w:pStyle w:val="FirstParagraph"/>
      </w:pPr>
      <w:r>
        <w:t xml:space="preserve">Access, correction, deletion, restriction, portability, objection</w:t>
      </w:r>
    </w:p>
    <w:p>
      <w:pPr>
        <w:pStyle w:val="Heading2"/>
      </w:pPr>
      <w:bookmarkStart w:id="12" w:name="_cffbead08cb793478f91755b8f3090f7640df9e"/>
      <w:r>
        <w:t xml:space="preserve">4. Technical Controls</w:t>
      </w:r>
    </w:p>
    <w:p>
      <w:pPr>
        <w:pStyle w:val="FirstParagraph"/>
      </w:pPr>
      <w:r>
        <w:t xml:space="preserve">Encryption, RBAC, audit logs, RLS, data minimization</w:t>
      </w:r>
    </w:p>
    <w:p>
      <w:pPr>
        <w:pStyle w:val="Heading2"/>
      </w:pPr>
      <w:bookmarkStart w:id="13" w:name="_organizational"/>
      <w:r>
        <w:t xml:space="preserve">5. Organizational</w:t>
      </w:r>
    </w:p>
    <w:p>
      <w:pPr>
        <w:pStyle w:val="FirstParagraph"/>
      </w:pPr>
      <w:r>
        <w:t xml:space="preserve">DPO (planned), ROPA, retention, deletion, breach 72h</w:t>
      </w:r>
    </w:p>
    <w:p>
      <w:pPr>
        <w:pStyle w:val="Heading2"/>
      </w:pPr>
      <w:bookmarkStart w:id="14" w:name="_ae72ff85e6d148d06a712a28a65abc4f97abcad"/>
      <w:r>
        <w:t xml:space="preserve">6. Cross-Border</w:t>
      </w:r>
    </w:p>
    <w:p>
      <w:pPr>
        <w:pStyle w:val="FirstParagraph"/>
      </w:pPr>
      <w:r>
        <w:t xml:space="preserve">KSA residency preferred; SCCs or adequacy</w:t>
      </w:r>
    </w:p>
    <w:p>
      <w:pPr>
        <w:pStyle w:val="Heading2"/>
      </w:pPr>
      <w:bookmarkStart w:id="15" w:name="_gaps"/>
      <w:r>
        <w:t xml:space="preserve">7. Gaps</w:t>
      </w:r>
    </w:p>
    <w:p>
      <w:pPr>
        <w:pStyle w:val="Compact"/>
        <w:numPr>
          <w:ilvl w:val="0"/>
          <w:numId w:val="1001"/>
        </w:numPr>
      </w:pPr>
      <w:r>
        <w:t xml:space="preserve">SDAIA registration</w:t>
      </w:r>
    </w:p>
    <w:p>
      <w:pPr>
        <w:pStyle w:val="Compact"/>
        <w:numPr>
          <w:ilvl w:val="0"/>
          <w:numId w:val="1002"/>
        </w:numPr>
      </w:pPr>
      <w:r>
        <w:t xml:space="preserve">DPO appointment</w:t>
      </w:r>
    </w:p>
    <w:p>
      <w:pPr>
        <w:pStyle w:val="Compact"/>
        <w:numPr>
          <w:ilvl w:val="0"/>
          <w:numId w:val="1003"/>
        </w:numPr>
      </w:pPr>
      <w:r>
        <w:t xml:space="preserve">Full ROPA</w:t>
      </w:r>
    </w:p>
    <w:p>
      <w:pPr>
        <w:pStyle w:val="Compact"/>
        <w:numPr>
          <w:ilvl w:val="0"/>
          <w:numId w:val="1004"/>
        </w:numPr>
      </w:pPr>
      <w:r>
        <w:t xml:space="preserve">DPIA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Regulatory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PDPL Compliance Statement</dc:title>
  <dc:creator>HISN Platform</dc:creator>
  <cp:keywords>HISN, FCDOS, financial crime, decision operating system</cp:keywords>
  <dcterms:created xsi:type="dcterms:W3CDTF">2026-10-13T13:04:12Z</dcterms:created>
  <dcterms:modified xsi:type="dcterms:W3CDTF">2026-10-13T13:04:12Z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