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SAMA POSITIONING</w:t>
      </w:r>
    </w:p>
    <w:p>
      <w:pPr>
        <w:pStyle w:val="Heading2"/>
      </w:pPr>
      <w:bookmarkStart w:id="9" w:name="_214b234d7f613e0c98588bde08be9da52f3fcd6"/>
      <w:r>
        <w:t xml:space="preserve">Entity Status</w:t>
      </w:r>
    </w:p>
    <w:p>
      <w:pPr>
        <w:pStyle w:val="FirstParagraph"/>
      </w:pPr>
      <w:r>
        <w:t xml:space="preserve">Technology provider — NOT a regulated FI.</w:t>
      </w:r>
    </w:p>
    <w:p>
      <w:pPr>
        <w:pStyle w:val="Heading2"/>
      </w:pPr>
      <w:bookmarkStart w:id="10" w:name="_1d87fe661dbafd44cb28b109e879022700c0e47"/>
      <w:r>
        <w:t xml:space="preserve">Regulatory Boundary</w:t>
      </w:r>
    </w:p>
    <w:p>
      <w:pPr>
        <w:pStyle w:val="Compact"/>
        <w:numPr>
          <w:ilvl w:val="0"/>
          <w:numId w:val="1001"/>
        </w:numPr>
      </w:pPr>
      <w:r>
        <w:t xml:space="preserve">SAMA regulates banks/insurers/finance/payment</w:t>
      </w:r>
    </w:p>
    <w:p>
      <w:pPr>
        <w:pStyle w:val="Compact"/>
        <w:numPr>
          <w:ilvl w:val="0"/>
          <w:numId w:val="1001"/>
        </w:numPr>
      </w:pPr>
      <w:r>
        <w:t xml:space="preserve">HISN provides supporting software</w:t>
      </w:r>
    </w:p>
    <w:p>
      <w:pPr>
        <w:pStyle w:val="Compact"/>
        <w:numPr>
          <w:ilvl w:val="0"/>
          <w:numId w:val="1001"/>
        </w:numPr>
      </w:pPr>
      <w:r>
        <w:t xml:space="preserve">Customer retains regulatory status</w:t>
      </w:r>
    </w:p>
    <w:p>
      <w:pPr>
        <w:pStyle w:val="Heading2"/>
      </w:pPr>
      <w:bookmarkStart w:id="11" w:name="_0bb5b5e47b2f5b4a68570f118f1ae2375253eea"/>
      <w:r>
        <w:t xml:space="preserve">What HISN Does NOT Claim</w:t>
      </w:r>
    </w:p>
    <w:p>
      <w:pPr>
        <w:pStyle w:val="Compact"/>
        <w:numPr>
          <w:ilvl w:val="0"/>
          <w:numId w:val="1002"/>
        </w:numPr>
      </w:pPr>
      <w:r>
        <w:t xml:space="preserve">SAMA certification / approval</w:t>
      </w:r>
    </w:p>
    <w:p>
      <w:pPr>
        <w:pStyle w:val="Compact"/>
        <w:numPr>
          <w:ilvl w:val="0"/>
          <w:numId w:val="1002"/>
        </w:numPr>
      </w:pPr>
      <w:r>
        <w:t xml:space="preserve">Sandbox membership</w:t>
      </w:r>
    </w:p>
    <w:p>
      <w:pPr>
        <w:pStyle w:val="Compact"/>
        <w:numPr>
          <w:ilvl w:val="0"/>
          <w:numId w:val="1002"/>
        </w:numPr>
      </w:pPr>
      <w:r>
        <w:t xml:space="preserve">License to conduct financial activities</w:t>
      </w:r>
    </w:p>
    <w:p>
      <w:pPr>
        <w:pStyle w:val="Heading2"/>
      </w:pPr>
      <w:bookmarkStart w:id="12" w:name="_3ac129ec5693b8955c75f787a9acd40c3d31778"/>
      <w:r>
        <w:t xml:space="preserve">What HISN Does</w:t>
      </w:r>
    </w:p>
    <w:p>
      <w:pPr>
        <w:pStyle w:val="Compact"/>
        <w:numPr>
          <w:ilvl w:val="0"/>
          <w:numId w:val="1003"/>
        </w:numPr>
      </w:pPr>
      <w:r>
        <w:t xml:space="preserve">Designed for alignment with SAMA CSF</w:t>
      </w:r>
    </w:p>
    <w:p>
      <w:pPr>
        <w:pStyle w:val="Compact"/>
        <w:numPr>
          <w:ilvl w:val="0"/>
          <w:numId w:val="1003"/>
        </w:numPr>
      </w:pPr>
      <w:r>
        <w:t xml:space="preserve">Supports AML/CFT program</w:t>
      </w:r>
    </w:p>
    <w:p>
      <w:pPr>
        <w:pStyle w:val="Compact"/>
        <w:numPr>
          <w:ilvl w:val="0"/>
          <w:numId w:val="1003"/>
        </w:numPr>
      </w:pPr>
      <w:r>
        <w:t xml:space="preserve">Auditable decision infrastructure</w:t>
      </w:r>
    </w:p>
    <w:p>
      <w:pPr>
        <w:pStyle w:val="Heading2"/>
      </w:pPr>
      <w:bookmarkStart w:id="13" w:name="_b9e9baa0d838b728addd431d9204d8b4df5b935"/>
      <w:r>
        <w:t xml:space="preserve">CSF Alignment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Domain</w:t>
            </w:r>
          </w:p>
        </w:tc>
        <w:tc>
          <w:tcPr/>
          <w:p>
            <w:pPr>
              <w:pStyle w:val="Compact"/>
            </w:pPr>
            <w:r>
              <w:t xml:space="preserve">HISN</w:t>
            </w:r>
          </w:p>
        </w:tc>
      </w:tr>
      <w:tr>
        <w:tc>
          <w:tcPr/>
          <w:p>
            <w:pPr>
              <w:pStyle w:val="Compact"/>
            </w:pPr>
            <w:r>
              <w:t xml:space="preserve">Governance</w:t>
            </w:r>
          </w:p>
        </w:tc>
        <w:tc>
          <w:tcPr/>
          <w:p>
            <w:pPr>
              <w:pStyle w:val="Compact"/>
            </w:pPr>
            <w:r>
              <w:t xml:space="preserve">ADRs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Risk Mgmt</w:t>
            </w:r>
          </w:p>
        </w:tc>
        <w:tc>
          <w:tcPr/>
          <w:p>
            <w:pPr>
              <w:pStyle w:val="Compact"/>
            </w:pPr>
            <w:r>
              <w:t xml:space="preserve">Risk register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Ops &amp; Tech</w:t>
            </w:r>
          </w:p>
        </w:tc>
        <w:tc>
          <w:tcPr/>
          <w:p>
            <w:pPr>
              <w:pStyle w:val="Compact"/>
            </w:pPr>
            <w:r>
              <w:t xml:space="preserve">CI/CD, DR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Third-Party</w:t>
            </w:r>
          </w:p>
        </w:tc>
        <w:tc>
          <w:tcPr/>
          <w:p>
            <w:pPr>
              <w:pStyle w:val="Compact"/>
            </w:pPr>
            <w:r>
              <w:t xml:space="preserve">TSP gates</w:t>
            </w:r>
          </w:p>
        </w:tc>
      </w:tr>
    </w:tbl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Regulatory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SAMA Positioning</dc:title>
  <dc:creator>HISN Platform</dc:creator>
  <cp:keywords>HISN, FCDOS, financial crime, decision operating system</cp:keywords>
  <dcterms:created xsi:type="dcterms:W3CDTF">2026-10-13T13:04:12Z</dcterms:created>
  <dcterms:modified xsi:type="dcterms:W3CDTF">2026-10-13T13:04:12Z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