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SAUDIZATION PLAN</w:t>
      </w:r>
    </w:p>
    <w:p>
      <w:pPr>
        <w:pStyle w:val="Heading2"/>
      </w:pPr>
      <w:bookmarkStart w:id="9" w:name="_current"/>
      <w:r>
        <w:t xml:space="preserve">Current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Category</w:t>
            </w:r>
          </w:p>
        </w:tc>
        <w:tc>
          <w:tcPr/>
          <w:p>
            <w:pPr>
              <w:pStyle w:val="Compact"/>
            </w:pPr>
            <w:r>
              <w:t xml:space="preserve">Saudi</w:t>
            </w:r>
          </w:p>
        </w:tc>
        <w:tc>
          <w:tcPr/>
          <w:p>
            <w:pPr>
              <w:pStyle w:val="Compact"/>
            </w:pPr>
            <w:r>
              <w:t xml:space="preserve">Non-Saudi</w:t>
            </w:r>
          </w:p>
        </w:tc>
        <w:tc>
          <w:tcPr/>
          <w:p>
            <w:pPr>
              <w:pStyle w:val="Compact"/>
            </w:pPr>
            <w:r>
              <w:t xml:space="preserve">Total</w:t>
            </w:r>
          </w:p>
        </w:tc>
        <w:tc>
          <w:tcPr/>
          <w:p>
            <w:pPr>
              <w:pStyle w:val="Compact"/>
            </w:pPr>
            <w:r>
              <w:t xml:space="preserve">%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Engineering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G&amp;A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100%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33%</w:t>
            </w:r>
          </w:p>
        </w:tc>
      </w:tr>
    </w:tbl>
    <w:p>
      <w:pPr>
        <w:pStyle w:val="Heading2"/>
      </w:pPr>
      <w:bookmarkStart w:id="10" w:name="_target"/>
      <w:r>
        <w:t xml:space="preserve">Target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Year</w:t>
            </w:r>
          </w:p>
        </w:tc>
        <w:tc>
          <w:tcPr/>
          <w:p>
            <w:pPr>
              <w:pStyle w:val="Compact"/>
            </w:pPr>
            <w:r>
              <w:t xml:space="preserve">Saudi %</w:t>
            </w:r>
          </w:p>
        </w:tc>
        <w:tc>
          <w:tcPr/>
          <w:p>
            <w:pPr>
              <w:pStyle w:val="Compact"/>
            </w:pPr>
            <w:r>
              <w:t xml:space="preserve">Band</w:t>
            </w:r>
          </w:p>
        </w:tc>
      </w:tr>
      <w:tr>
        <w:tc>
          <w:tcPr/>
          <w:p>
            <w:pPr>
              <w:pStyle w:val="Compact"/>
            </w:pPr>
            <w:r>
              <w:t xml:space="preserve">Y1</w:t>
            </w:r>
          </w:p>
        </w:tc>
        <w:tc>
          <w:tcPr/>
          <w:p>
            <w:pPr>
              <w:pStyle w:val="Compact"/>
            </w:pPr>
            <w:r>
              <w:t xml:space="preserve">30%</w:t>
            </w:r>
          </w:p>
        </w:tc>
        <w:tc>
          <w:tcPr/>
          <w:p>
            <w:pPr>
              <w:pStyle w:val="Compact"/>
            </w:pPr>
            <w:r>
              <w:t xml:space="preserve">Low Green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Y2</w:t>
            </w:r>
          </w:p>
        </w:tc>
        <w:tc>
          <w:tcPr/>
          <w:p>
            <w:pPr>
              <w:pStyle w:val="Compact"/>
            </w:pPr>
            <w:r>
              <w:t xml:space="preserve">50%</w:t>
            </w:r>
          </w:p>
        </w:tc>
        <w:tc>
          <w:tcPr/>
          <w:p>
            <w:pPr>
              <w:pStyle w:val="Compact"/>
            </w:pPr>
            <w:r>
              <w:t xml:space="preserve">Mid Green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Y3</w:t>
            </w:r>
          </w:p>
        </w:tc>
        <w:tc>
          <w:tcPr/>
          <w:p>
            <w:pPr>
              <w:pStyle w:val="Compact"/>
            </w:pPr>
            <w:r>
              <w:t xml:space="preserve">60%</w:t>
            </w:r>
          </w:p>
        </w:tc>
        <w:tc>
          <w:tcPr/>
          <w:p>
            <w:pPr>
              <w:pStyle w:val="Compact"/>
            </w:pPr>
            <w:r>
              <w:t xml:space="preserve">High Green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Y5</w:t>
            </w:r>
          </w:p>
        </w:tc>
        <w:tc>
          <w:tcPr/>
          <w:p>
            <w:pPr>
              <w:pStyle w:val="Compact"/>
            </w:pPr>
            <w:r>
              <w:t xml:space="preserve">70%</w:t>
            </w:r>
          </w:p>
        </w:tc>
        <w:tc>
          <w:tcPr/>
          <w:p>
            <w:pPr>
              <w:pStyle w:val="Compact"/>
            </w:pPr>
            <w:r>
              <w:t xml:space="preserve">Platinum</w:t>
            </w:r>
          </w:p>
        </w:tc>
      </w:tr>
    </w:tbl>
    <w:p>
      <w:pPr>
        <w:pStyle w:val="Heading2"/>
      </w:pPr>
      <w:bookmarkStart w:id="11" w:name="_support"/>
      <w:r>
        <w:t xml:space="preserve">Support</w:t>
      </w:r>
    </w:p>
    <w:p>
      <w:pPr>
        <w:pStyle w:val="FirstParagraph"/>
      </w:pPr>
      <w:r>
        <w:t xml:space="preserve">HRDF, Tamheer, training partnerships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Regulatory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Saudization Plan</dc:title>
  <dc:creator>HISN Platform</dc:creator>
  <cp:keywords>HISN, FCDOS, financial crime, decision operating system</cp:keywords>
  <dcterms:created xsi:type="dcterms:W3CDTF">2026-10-13T13:04:12Z</dcterms:created>
  <dcterms:modified xsi:type="dcterms:W3CDTF">2026-10-13T13:04:12Z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