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01_MSA_Template</w:t>
      </w:r>
    </w:p>
    <w:p>
      <w:pPr>
        <w:pStyle w:val="Heading1"/>
      </w:pPr>
      <w:bookmarkStart w:id="19" w:name="_c6038b7897d581486bef9a39f6f0fa0eeb256a5"/>
      <w:r>
        <w:t xml:space="preserve">Master Services Agreement — Template</w:t>
      </w:r>
    </w:p>
    <w:p>
      <w:pPr>
        <w:pStyle w:val="FirstParagraph"/>
      </w:pPr>
      <w:r>
        <w:rPr>
          <w:b/>
          <w:bCs/>
        </w:rPr>
        <w:t xml:space="preserve">HISN — Financial Crime Decision Operating System</w:t>
      </w:r>
      <w:r>
        <w:t xml:space="preserve"> </w:t>
      </w:r>
      <w:r>
        <w:rPr>
          <w:b/>
          <w:bCs/>
        </w:rPr>
        <w:t xml:space="preserve">Version:</w:t>
      </w:r>
      <w:r>
        <w:t xml:space="preserve"> </w:t>
      </w:r>
      <w:r>
        <w:t xml:space="preserve">3.0 |</w:t>
      </w:r>
      <w:r>
        <w:t xml:space="preserve"> </w:t>
      </w:r>
      <w:r>
        <w:rPr>
          <w:b/>
          <w:bCs/>
        </w:rPr>
        <w:t xml:space="preserve">Date:</w:t>
      </w:r>
      <w:r>
        <w:t xml:space="preserve"> </w:t>
      </w:r>
      <w:r>
        <w:t xml:space="preserve">October 2026</w:t>
      </w:r>
      <w:r>
        <w:t xml:space="preserve"> </w:t>
      </w:r>
      <w:r>
        <w:rPr>
          <w:b/>
          <w:bCs/>
        </w:rPr>
        <w:t xml:space="preserve">Owner:</w:t>
      </w:r>
      <w:r>
        <w:t xml:space="preserve"> </w:t>
      </w:r>
      <w:r>
        <w:t xml:space="preserve">Legal</w:t>
      </w:r>
      <w:r>
        <w:t xml:space="preserve"> </w:t>
      </w:r>
      <w:r>
        <w:rPr>
          <w:b/>
          <w:bCs/>
        </w:rPr>
        <w:t xml:space="preserve">Classification:</w:t>
      </w:r>
      <w:r>
        <w:t xml:space="preserve"> </w:t>
      </w:r>
      <w:r>
        <w:t xml:space="preserve">Confidential |</w:t>
      </w:r>
      <w:r>
        <w:t xml:space="preserve"> </w:t>
      </w:r>
      <w:r>
        <w:rPr>
          <w:b/>
          <w:bCs/>
        </w:rPr>
        <w:t xml:space="preserve">Status:</w:t>
      </w:r>
      <w:r>
        <w:t xml:space="preserve"> </w:t>
      </w:r>
      <w:r>
        <w:t xml:space="preserve">Template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0" w:name="_df3d0f1cc916325ee18f97ce3e72745a510564f"/>
      <w:r>
        <w:t xml:space="preserve">Document Control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Document Title</w:t>
            </w:r>
          </w:p>
        </w:tc>
        <w:tc>
          <w:tcPr/>
          <w:p>
            <w:pPr>
              <w:pStyle w:val="Compact"/>
            </w:pPr>
            <w:r>
              <w:t xml:space="preserve">Master Services Agreement (Template)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3.0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October 2026</w:t>
            </w:r>
          </w:p>
        </w:tc>
      </w:tr>
      <w:tr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Legal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Classification</w:t>
            </w:r>
          </w:p>
        </w:tc>
        <w:tc>
          <w:tcPr/>
          <w:p>
            <w:pPr>
              <w:pStyle w:val="Compact"/>
            </w:pPr>
            <w:r>
              <w:t xml:space="preserve">Confidential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Template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Basis of Preparation</w:t>
            </w:r>
          </w:p>
        </w:tc>
        <w:tc>
          <w:tcPr/>
          <w:p>
            <w:pPr>
              <w:pStyle w:val="Compact"/>
            </w:pPr>
            <w:r>
              <w:t xml:space="preserve">Market standards, KSA legal framework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Limitations</w:t>
            </w:r>
          </w:p>
        </w:tc>
        <w:tc>
          <w:tcPr/>
          <w:p>
            <w:pPr>
              <w:pStyle w:val="Compact"/>
            </w:pPr>
            <w:r>
              <w:t xml:space="preserve">Subject to legal review. Not legal advice.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_parties"/>
      <w:r>
        <w:t xml:space="preserve">1. Parties</w:t>
      </w:r>
    </w:p>
    <w:p>
      <w:pPr>
        <w:pStyle w:val="FirstParagraph"/>
      </w:pPr>
      <w:r>
        <w:rPr>
          <w:b/>
          <w:bCs/>
        </w:rPr>
        <w:t xml:space="preserve">Provider:</w:t>
      </w:r>
      <w:r>
        <w:t xml:space="preserve"> </w:t>
      </w:r>
      <w:r>
        <w:t xml:space="preserve">HISN Platform (or successor entity)</w:t>
      </w:r>
      <w:r>
        <w:t xml:space="preserve"> </w:t>
      </w:r>
      <w:r>
        <w:rPr>
          <w:b/>
          <w:bCs/>
        </w:rPr>
        <w:t xml:space="preserve">Customer:</w:t>
      </w:r>
      <w:r>
        <w:t xml:space="preserve"> </w:t>
      </w:r>
      <w:r>
        <w:t xml:space="preserve">[Customer Legal Name]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2" w:name="_services"/>
      <w:r>
        <w:t xml:space="preserve">2. Services</w:t>
      </w:r>
    </w:p>
    <w:p>
      <w:pPr>
        <w:pStyle w:val="FirstParagraph"/>
      </w:pPr>
      <w:r>
        <w:t xml:space="preserve">Provider grants Customer a non-exclusive, non-transferable license to access the HISN FCDOS platform as described in the applicable Order Form.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3" w:name="_term"/>
      <w:r>
        <w:t xml:space="preserve">3. Term</w:t>
      </w:r>
    </w:p>
    <w:p>
      <w:pPr>
        <w:pStyle w:val="FirstParagraph"/>
      </w:pPr>
      <w:r>
        <w:rPr>
          <w:b/>
          <w:bCs/>
        </w:rPr>
        <w:t xml:space="preserve">Initial Term:</w:t>
      </w:r>
      <w:r>
        <w:t xml:space="preserve"> </w:t>
      </w:r>
      <w:r>
        <w:t xml:space="preserve">As specified in Order Form.</w:t>
      </w:r>
      <w:r>
        <w:t xml:space="preserve"> </w:t>
      </w:r>
      <w:r>
        <w:rPr>
          <w:b/>
          <w:bCs/>
        </w:rPr>
        <w:t xml:space="preserve">Renewal:</w:t>
      </w:r>
      <w:r>
        <w:t xml:space="preserve"> </w:t>
      </w:r>
      <w:r>
        <w:t xml:space="preserve">Automatic unless notice given 90 days prior.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4" w:name="_fees"/>
      <w:r>
        <w:t xml:space="preserve">4. Fees</w:t>
      </w:r>
    </w:p>
    <w:p>
      <w:pPr>
        <w:pStyle w:val="FirstParagraph"/>
      </w:pPr>
      <w:r>
        <w:t xml:space="preserve">Fees as specified in Order Form. Payment terms: Net 30 (standard).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5" w:name="_941ddf6f9e214abf3a32e4afb1e80e39fcf6a35"/>
      <w:r>
        <w:t xml:space="preserve">5. IP Ownership</w:t>
      </w:r>
    </w:p>
    <w:p>
      <w:pPr>
        <w:pStyle w:val="Compact"/>
        <w:numPr>
          <w:ilvl w:val="0"/>
          <w:numId w:val="1001"/>
        </w:numPr>
      </w:pPr>
      <w:r>
        <w:t xml:space="preserve">Platform IP: Provider retains full ownership.</w:t>
      </w:r>
    </w:p>
    <w:p>
      <w:pPr>
        <w:pStyle w:val="Compact"/>
        <w:numPr>
          <w:ilvl w:val="0"/>
          <w:numId w:val="1001"/>
        </w:numPr>
      </w:pPr>
      <w:r>
        <w:t xml:space="preserve">Customer Data: Customer retains full ownership.</w:t>
      </w:r>
    </w:p>
    <w:p>
      <w:pPr>
        <w:pStyle w:val="Compact"/>
        <w:numPr>
          <w:ilvl w:val="0"/>
          <w:numId w:val="1001"/>
        </w:numPr>
      </w:pPr>
      <w:r>
        <w:t xml:space="preserve">Derivative Works: As negotiated.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6" w:name="_confidentiality"/>
      <w:r>
        <w:t xml:space="preserve">6. Confidentiality</w:t>
      </w:r>
    </w:p>
    <w:p>
      <w:pPr>
        <w:pStyle w:val="FirstParagraph"/>
      </w:pPr>
      <w:r>
        <w:t xml:space="preserve">Both parties agree to protect confidential information per standard terms.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7" w:name="_19b25272c2ed8e15b1600b71f52e0e8048ae308"/>
      <w:r>
        <w:t xml:space="preserve">7. Data Protection</w:t>
      </w:r>
    </w:p>
    <w:p>
      <w:pPr>
        <w:pStyle w:val="FirstParagraph"/>
      </w:pPr>
      <w:r>
        <w:t xml:space="preserve">Both parties comply with PDPL and applicable data protection laws.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8" w:name="_warranties"/>
      <w:r>
        <w:t xml:space="preserve">8. Warranties</w:t>
      </w:r>
    </w:p>
    <w:p>
      <w:pPr>
        <w:pStyle w:val="FirstParagraph"/>
      </w:pPr>
      <w:r>
        <w:t xml:space="preserve">Provider warrants:</w:t>
      </w:r>
      <w:r>
        <w:t xml:space="preserve"> </w:t>
      </w:r>
      <w:r>
        <w:t xml:space="preserve">- Services performed professionally</w:t>
      </w:r>
      <w:r>
        <w:t xml:space="preserve"> </w:t>
      </w:r>
      <w:r>
        <w:t xml:space="preserve">- Platform meets documentation specifications</w:t>
      </w:r>
      <w:r>
        <w:t xml:space="preserve"> </w:t>
      </w:r>
      <w:r>
        <w:t xml:space="preserve">- No known material defects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9" w:name="_indemnification"/>
      <w:r>
        <w:t xml:space="preserve">9. Indemnification</w:t>
      </w:r>
    </w:p>
    <w:p>
      <w:pPr>
        <w:pStyle w:val="FirstParagraph"/>
      </w:pPr>
      <w:r>
        <w:t xml:space="preserve">Standard mutual indemnification.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0" w:name="_a32fd3dc6828334576d050a441ea21a18698c88"/>
      <w:r>
        <w:t xml:space="preserve">10. Limitation of Liability</w:t>
      </w:r>
    </w:p>
    <w:p>
      <w:pPr>
        <w:pStyle w:val="FirstParagraph"/>
      </w:pPr>
      <w:r>
        <w:t xml:space="preserve">Cap: 12 months’ fees paid (typical).</w:t>
      </w:r>
      <w:r>
        <w:t xml:space="preserve"> </w:t>
      </w:r>
      <w:r>
        <w:t xml:space="preserve">Exclusions: Gross negligence, willful misconduct.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1" w:name="_termination"/>
      <w:r>
        <w:t xml:space="preserve">11. Termination</w:t>
      </w:r>
    </w:p>
    <w:p>
      <w:pPr>
        <w:pStyle w:val="Compact"/>
        <w:numPr>
          <w:ilvl w:val="0"/>
          <w:numId w:val="1002"/>
        </w:numPr>
      </w:pPr>
      <w:r>
        <w:t xml:space="preserve">For cause (material breach): 30 days’ notice to cure</w:t>
      </w:r>
    </w:p>
    <w:p>
      <w:pPr>
        <w:pStyle w:val="Compact"/>
        <w:numPr>
          <w:ilvl w:val="0"/>
          <w:numId w:val="1002"/>
        </w:numPr>
      </w:pPr>
      <w:r>
        <w:t xml:space="preserve">For convenience: 90 days’ notice</w:t>
      </w:r>
    </w:p>
    <w:p>
      <w:pPr>
        <w:pStyle w:val="Compact"/>
        <w:numPr>
          <w:ilvl w:val="0"/>
          <w:numId w:val="1002"/>
        </w:numPr>
      </w:pPr>
      <w:r>
        <w:t xml:space="preserve">Upon insolvency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2" w:name="_816ff414627b9c0347624b7b37d0b0d498a46b4"/>
      <w:r>
        <w:t xml:space="preserve">12. Governing Law</w:t>
      </w:r>
    </w:p>
    <w:p>
      <w:pPr>
        <w:pStyle w:val="FirstParagraph"/>
      </w:pPr>
      <w:r>
        <w:t xml:space="preserve">Kingdom of Saudi Arabia.</w:t>
      </w:r>
    </w:p>
    <w:p>
      <w:pPr>
        <w:pStyle w:val="BodyText"/>
      </w:pPr>
      <w:r>
        <w:rPr>
          <w:b/>
          <w:bCs/>
        </w:rPr>
        <w:t xml:space="preserve">Jurisdiction:</w:t>
      </w:r>
      <w:r>
        <w:t xml:space="preserve"> </w:t>
      </w:r>
      <w:r>
        <w:t xml:space="preserve">Courts of Riyadh.</w:t>
      </w:r>
      <w:r>
        <w:t xml:space="preserve"> </w:t>
      </w:r>
      <w:r>
        <w:rPr>
          <w:b/>
          <w:bCs/>
        </w:rPr>
        <w:t xml:space="preserve">Dispute Resolution:</w:t>
      </w:r>
      <w:r>
        <w:t xml:space="preserve"> </w:t>
      </w:r>
      <w:r>
        <w:t xml:space="preserve">Arbitration (SCCA rules).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3" w:name="_disclaimer"/>
      <w:r>
        <w:t xml:space="preserve">13. Disclaimer</w:t>
      </w:r>
    </w:p>
    <w:p>
      <w:pPr>
        <w:pStyle w:val="FirstParagraph"/>
      </w:pPr>
      <w:r>
        <w:t xml:space="preserve">This MSA Template is for planning purposes.</w:t>
      </w:r>
      <w:r>
        <w:t xml:space="preserve"> </w:t>
      </w:r>
      <w:r>
        <w:rPr>
          <w:b/>
          <w:bCs/>
        </w:rPr>
        <w:t xml:space="preserve">Final agreements must be reviewed by qualified legal counsel in the relevant jurisdiction.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HISN FCDOS — Where Trust Begins.</w:t>
      </w:r>
      <w:r>
        <w:t xml:space="preserve"> </w:t>
      </w:r>
      <w:r>
        <w:rPr>
          <w:i/>
          <w:iCs/>
        </w:rPr>
        <w:t xml:space="preserve">Confidential — Not for Distribution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134" w:bottom="1134" w:left="1134" w:header="283" w:footer="454" w:gutter="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Legal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ajawal" w:hAnsi="Tajawal" w:cs="Tajawal"/>
      <w:color w:val="2C2C2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ajawal" w:hAnsi="Tajawal" w:cs="Tajawal"/>
      <w:b/>
      <w:color w:val="C9A45B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18" Type="http://schemas.openxmlformats.org/officeDocument/2006/relationships/numbering" Target="numbering.xml"/><Relationship Id="rId17" Type="http://schemas.openxmlformats.org/officeDocument/2006/relationships/styles" Target="styles.xml"/><Relationship Id="rId16" Type="http://schemas.openxmlformats.org/officeDocument/2006/relationships/settings" Target="settings.xml"/><Relationship Id="rId15" Type="http://schemas.openxmlformats.org/officeDocument/2006/relationships/webSettings" Target="webSettings.xml"/><Relationship Id="rId14" Type="http://schemas.openxmlformats.org/officeDocument/2006/relationships/fontTable" Target="fontTable.xml"/><Relationship Id="rId13" Type="http://schemas.openxmlformats.org/officeDocument/2006/relationships/theme" Target="theme/theme1.xml"/><Relationship Id="rId12" Type="http://schemas.openxmlformats.org/officeDocument/2006/relationships/footnotes" Target="footnotes.xml"/><Relationship Id="rId1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 MSA Template</dc:title>
  <dc:creator>HISN Platform</dc:creator>
  <cp:keywords>HISN, FCDOS, financial crime, decision operating system</cp:keywords>
  <dcterms:created xsi:type="dcterms:W3CDTF">2026-10-14T13:44:57Z</dcterms:created>
  <dcterms:modified xsi:type="dcterms:W3CDTF">2026-10-14T13:44:57Z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