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CAP TABLE — FULLY DILUTED</w:t>
      </w:r>
    </w:p>
    <w:p>
      <w:pPr>
        <w:pStyle w:val="BodyText"/>
      </w:pPr>
      <w:r>
        <w:rPr>
          <w:b/>
          <w:bCs/>
        </w:rPr>
        <w:t xml:space="preserve">Date:</w:t>
      </w:r>
      <w:r>
        <w:t xml:space="preserve"> </w:t>
      </w:r>
      <w:r>
        <w:t xml:space="preserve">13 October 2026</w:t>
      </w:r>
      <w:r>
        <w:t xml:space="preserve"> </w:t>
      </w:r>
      <w:r>
        <w:rPr>
          <w:b/>
          <w:bCs/>
        </w:rPr>
        <w:t xml:space="preserve">Round:</w:t>
      </w:r>
      <w:r>
        <w:t xml:space="preserve"> </w:t>
      </w:r>
      <w:r>
        <w:t xml:space="preserve">SAR 7.5M at SAR 30M pre-money</w:t>
      </w:r>
    </w:p>
    <w:p>
      <w:pPr>
        <w:pStyle w:val="Heading2"/>
      </w:pPr>
      <w:bookmarkStart w:id="9" w:name="_b20d7eb63a1f0ab4db59666201f8ba983b449a6"/>
      <w:r>
        <w:t xml:space="preserve">Pre-Round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Shareholder</w:t>
            </w:r>
          </w:p>
        </w:tc>
        <w:tc>
          <w:tcPr/>
          <w:p>
            <w:pPr>
              <w:pStyle w:val="Compact"/>
            </w:pPr>
            <w:r>
              <w:t xml:space="preserve">Shares</w:t>
            </w:r>
          </w:p>
        </w:tc>
        <w:tc>
          <w:tcPr/>
          <w:p>
            <w:pPr>
              <w:pStyle w:val="Compact"/>
            </w:pPr>
            <w:r>
              <w:t xml:space="preserve">%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Founder(s)</w:t>
            </w:r>
          </w:p>
        </w:tc>
        <w:tc>
          <w:tcPr/>
          <w:p>
            <w:pPr>
              <w:pStyle w:val="Compact"/>
            </w:pPr>
            <w:r>
              <w:t xml:space="preserve">TBD</w:t>
            </w:r>
          </w:p>
        </w:tc>
        <w:tc>
          <w:tcPr/>
          <w:p>
            <w:pPr>
              <w:pStyle w:val="Compact"/>
            </w:pPr>
            <w:r>
              <w:t xml:space="preserve">TBD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ESOP Pool</w:t>
            </w:r>
          </w:p>
        </w:tc>
        <w:tc>
          <w:tcPr/>
          <w:p>
            <w:pPr>
              <w:pStyle w:val="Compact"/>
            </w:pPr>
            <w:r>
              <w:t xml:space="preserve">TBD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TBD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</w:tr>
    </w:tbl>
    <w:p>
      <w:pPr>
        <w:pStyle w:val="Heading2"/>
      </w:pPr>
      <w:bookmarkStart w:id="10" w:name="_f09d961d753bfdc813ca4ae9d2f31eb1e990523"/>
      <w:r>
        <w:t xml:space="preserve">Post-Round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Shareholder</w:t>
            </w:r>
          </w:p>
        </w:tc>
        <w:tc>
          <w:tcPr/>
          <w:p>
            <w:pPr>
              <w:pStyle w:val="Compact"/>
            </w:pPr>
            <w:r>
              <w:t xml:space="preserve">Shares</w:t>
            </w:r>
          </w:p>
        </w:tc>
        <w:tc>
          <w:tcPr/>
          <w:p>
            <w:pPr>
              <w:pStyle w:val="Compact"/>
            </w:pPr>
            <w:r>
              <w:t xml:space="preserve">%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Founder(s)</w:t>
            </w:r>
          </w:p>
        </w:tc>
        <w:tc>
          <w:tcPr/>
          <w:p>
            <w:pPr>
              <w:pStyle w:val="Compact"/>
            </w:pPr>
            <w:r>
              <w:t xml:space="preserve">TBD</w:t>
            </w:r>
          </w:p>
        </w:tc>
        <w:tc>
          <w:tcPr/>
          <w:p>
            <w:pPr>
              <w:pStyle w:val="Compact"/>
            </w:pPr>
            <w:r>
              <w:t xml:space="preserve">72%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New Investor</w:t>
            </w:r>
          </w:p>
        </w:tc>
        <w:tc>
          <w:tcPr/>
          <w:p>
            <w:pPr>
              <w:pStyle w:val="Compact"/>
            </w:pPr>
            <w:r>
              <w:t xml:space="preserve">TBD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ESOP</w:t>
            </w:r>
          </w:p>
        </w:tc>
        <w:tc>
          <w:tcPr/>
          <w:p>
            <w:pPr>
              <w:pStyle w:val="Compact"/>
            </w:pPr>
            <w:r>
              <w:t xml:space="preserve">TBD</w:t>
            </w:r>
          </w:p>
        </w:tc>
        <w:tc>
          <w:tcPr/>
          <w:p>
            <w:pPr>
              <w:pStyle w:val="Compact"/>
            </w:pPr>
            <w:r>
              <w:t xml:space="preserve">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TBD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</w:tr>
    </w:tbl>
    <w:p>
      <w:pPr>
        <w:pStyle w:val="Heading2"/>
      </w:pPr>
      <w:bookmarkStart w:id="11" w:name="_notes"/>
      <w:r>
        <w:t xml:space="preserve">Notes</w:t>
      </w:r>
    </w:p>
    <w:p>
      <w:pPr>
        <w:pStyle w:val="Compact"/>
        <w:numPr>
          <w:ilvl w:val="0"/>
          <w:numId w:val="1001"/>
        </w:numPr>
      </w:pPr>
      <w:r>
        <w:t xml:space="preserve">Fully diluted basis</w:t>
      </w:r>
    </w:p>
    <w:p>
      <w:pPr>
        <w:pStyle w:val="Compact"/>
        <w:numPr>
          <w:ilvl w:val="0"/>
          <w:numId w:val="1001"/>
        </w:numPr>
      </w:pPr>
      <w:r>
        <w:t xml:space="preserve">ESOP pre vs post to be negotiated</w:t>
      </w:r>
    </w:p>
    <w:p>
      <w:pPr>
        <w:pStyle w:val="Compact"/>
        <w:numPr>
          <w:ilvl w:val="0"/>
          <w:numId w:val="1001"/>
        </w:numPr>
      </w:pPr>
      <w:r>
        <w:t xml:space="preserve">Illustrative only</w:t>
      </w:r>
    </w:p>
    <w:p>
      <w:pPr>
        <w:pStyle w:val="Heading2"/>
      </w:pPr>
      <w:bookmarkStart w:id="12" w:name="_scenarios"/>
      <w:r>
        <w:t xml:space="preserve">Scenarios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Investor</w:t>
            </w:r>
          </w:p>
        </w:tc>
        <w:tc>
          <w:tcPr/>
          <w:p>
            <w:pPr>
              <w:pStyle w:val="Compact"/>
            </w:pPr>
            <w:r>
              <w:t xml:space="preserve">Founder</w:t>
            </w:r>
          </w:p>
        </w:tc>
        <w:tc>
          <w:tcPr/>
          <w:p>
            <w:pPr>
              <w:pStyle w:val="Compact"/>
            </w:pPr>
            <w:r>
              <w:t xml:space="preserve">ESOP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Base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  <w:tc>
          <w:tcPr/>
          <w:p>
            <w:pPr>
              <w:pStyle w:val="Compact"/>
            </w:pPr>
            <w:r>
              <w:t xml:space="preserve">72%</w:t>
            </w:r>
          </w:p>
        </w:tc>
        <w:tc>
          <w:tcPr/>
          <w:p>
            <w:pPr>
              <w:pStyle w:val="Compact"/>
            </w:pPr>
            <w:r>
              <w:t xml:space="preserve">8%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ESOP 10% post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  <w:tc>
          <w:tcPr/>
          <w:p>
            <w:pPr>
              <w:pStyle w:val="Compact"/>
            </w:pPr>
            <w:r>
              <w:t xml:space="preserve">70%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ESOP 15% post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  <w:tc>
          <w:tcPr/>
          <w:p>
            <w:pPr>
              <w:pStyle w:val="Compact"/>
            </w:pPr>
            <w:r>
              <w:t xml:space="preserve">65%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</w:tr>
    </w:tbl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Legal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 Table Fully Diluted</dc:title>
  <dc:creator>HISN Platform</dc:creator>
  <cp:keywords>HISN, FCDOS, financial crime, decision operating system</cp:keywords>
  <dcterms:created xsi:type="dcterms:W3CDTF">2026-10-13T13:04:09Z</dcterms:created>
  <dcterms:modified xsi:type="dcterms:W3CDTF">2026-10-13T13:04:09Z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