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DATA PROCESSING AGREEMENT (DPA)</w:t>
      </w:r>
    </w:p>
    <w:p>
      <w:pPr>
        <w:pStyle w:val="Heading2"/>
      </w:pPr>
      <w:bookmarkStart w:id="9" w:name="_roles"/>
      <w:r>
        <w:t xml:space="preserve">1. Roles</w:t>
      </w:r>
    </w:p>
    <w:p>
      <w:pPr>
        <w:pStyle w:val="FirstParagraph"/>
      </w:pPr>
      <w:r>
        <w:t xml:space="preserve">Controller / Processor</w:t>
      </w:r>
    </w:p>
    <w:p>
      <w:pPr>
        <w:pStyle w:val="Heading2"/>
      </w:pPr>
      <w:bookmarkStart w:id="10" w:name="_scope"/>
      <w:r>
        <w:t xml:space="preserve">2. Scope</w:t>
      </w:r>
    </w:p>
    <w:p>
      <w:pPr>
        <w:pStyle w:val="FirstParagraph"/>
      </w:pPr>
      <w:r>
        <w:t xml:space="preserve">Processing activities</w:t>
      </w:r>
    </w:p>
    <w:p>
      <w:pPr>
        <w:pStyle w:val="Heading2"/>
      </w:pPr>
      <w:bookmarkStart w:id="11" w:name="_duration"/>
      <w:r>
        <w:t xml:space="preserve">3. Duration</w:t>
      </w:r>
    </w:p>
    <w:p>
      <w:pPr>
        <w:pStyle w:val="Heading2"/>
      </w:pPr>
      <w:bookmarkStart w:id="12" w:name="_c05bed8f7f8a6918b7900fc3b6abd6263e4b845"/>
      <w:r>
        <w:t xml:space="preserve">4. Categories of Data</w:t>
      </w:r>
    </w:p>
    <w:p>
      <w:pPr>
        <w:pStyle w:val="Heading2"/>
      </w:pPr>
      <w:bookmarkStart w:id="13" w:name="_fac641d1ae2a1db34c7d3da5ab9c4dc75339488"/>
      <w:r>
        <w:t xml:space="preserve">5. Data Subject Rights</w:t>
      </w:r>
    </w:p>
    <w:p>
      <w:pPr>
        <w:pStyle w:val="Heading2"/>
      </w:pPr>
      <w:bookmarkStart w:id="14" w:name="_f2f5c0b7ff25b4cc5e5c92f091c61b57f80a6b6"/>
      <w:r>
        <w:t xml:space="preserve">6. Security Measures</w:t>
      </w:r>
    </w:p>
    <w:p>
      <w:pPr>
        <w:pStyle w:val="Heading2"/>
      </w:pPr>
      <w:bookmarkStart w:id="15" w:name="_5376947d6b2a5b0bc8ada5a4e763a2190533f46"/>
      <w:r>
        <w:t xml:space="preserve">7. Sub-Processors</w:t>
      </w:r>
    </w:p>
    <w:p>
      <w:pPr>
        <w:pStyle w:val="Heading2"/>
      </w:pPr>
      <w:bookmarkStart w:id="16" w:name="_c32c37934e7e4d93c30bad9ddf50e3178298a02"/>
      <w:r>
        <w:t xml:space="preserve">8. Cross-Border Transfers</w:t>
      </w:r>
    </w:p>
    <w:p>
      <w:pPr>
        <w:pStyle w:val="FirstParagraph"/>
      </w:pPr>
      <w:r>
        <w:t xml:space="preserve">SCCs</w:t>
      </w:r>
    </w:p>
    <w:p>
      <w:pPr>
        <w:pStyle w:val="Heading2"/>
      </w:pPr>
      <w:bookmarkStart w:id="17" w:name="_17eddfd453da0bb090cdab4d1ed28689f0e9156"/>
      <w:r>
        <w:t xml:space="preserve">9. Breach Notification</w:t>
      </w:r>
    </w:p>
    <w:p>
      <w:pPr>
        <w:pStyle w:val="FirstParagraph"/>
      </w:pPr>
      <w:r>
        <w:t xml:space="preserve">72h</w:t>
      </w:r>
    </w:p>
    <w:p>
      <w:pPr>
        <w:pStyle w:val="Heading2"/>
      </w:pPr>
      <w:bookmarkStart w:id="18" w:name="_a6b83fabc6abdaedd32861b8b15e4c72515945e"/>
      <w:r>
        <w:t xml:space="preserve">10. Audit Rights</w:t>
      </w:r>
    </w:p>
    <w:p>
      <w:pPr>
        <w:pStyle w:val="Heading2"/>
      </w:pPr>
      <w:bookmarkStart w:id="19" w:name="_454d0d58a0f0f3ecf1456cc6f7e0bb042c3f53e"/>
      <w:r>
        <w:t xml:space="preserve">11. Deletion / Return</w:t>
      </w:r>
    </w:p>
    <w:p>
      <w:pPr>
        <w:pStyle w:val="Heading2"/>
      </w:pPr>
      <w:bookmarkStart w:id="20" w:name="_816ff414627b9c0347624b7b37d0b0d498a46b4"/>
      <w:r>
        <w:t xml:space="preserve">12. Governing Law</w:t>
      </w:r>
    </w:p>
    <w:p>
      <w:pPr>
        <w:pStyle w:val="FirstParagraph"/>
      </w:pPr>
      <w:r>
        <w:t xml:space="preserve">KSA / PDPL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DPA Template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