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ESOP — OUTLINE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Attract, retain, incentivize.</w:t>
      </w:r>
    </w:p>
    <w:p>
      <w:pPr>
        <w:pStyle w:val="Heading2"/>
      </w:pPr>
      <w:bookmarkStart w:id="10" w:name="_420476a650ae8664dd5c1581b765ea8f2c687d1"/>
      <w:r>
        <w:t xml:space="preserve">2. Pool Size</w:t>
      </w:r>
    </w:p>
    <w:p>
      <w:pPr>
        <w:pStyle w:val="FirstParagraph"/>
      </w:pPr>
      <w:r>
        <w:t xml:space="preserve">10% fully diluted post-money.</w:t>
      </w:r>
    </w:p>
    <w:p>
      <w:pPr>
        <w:pStyle w:val="Heading2"/>
      </w:pPr>
      <w:bookmarkStart w:id="11" w:name="_eligibility"/>
      <w:r>
        <w:t xml:space="preserve">3. Eligibility</w:t>
      </w:r>
    </w:p>
    <w:p>
      <w:pPr>
        <w:pStyle w:val="FirstParagraph"/>
      </w:pPr>
      <w:r>
        <w:t xml:space="preserve">Full-time employees, advisors, consultants.</w:t>
      </w:r>
    </w:p>
    <w:p>
      <w:pPr>
        <w:pStyle w:val="Heading2"/>
      </w:pPr>
      <w:bookmarkStart w:id="12" w:name="_vesting"/>
      <w:r>
        <w:t xml:space="preserve">4. Vesting</w:t>
      </w:r>
    </w:p>
    <w:p>
      <w:pPr>
        <w:pStyle w:val="FirstParagraph"/>
      </w:pPr>
      <w:r>
        <w:t xml:space="preserve">4 years, 1-year cliff.</w:t>
      </w:r>
    </w:p>
    <w:p>
      <w:pPr>
        <w:pStyle w:val="Heading2"/>
      </w:pPr>
      <w:bookmarkStart w:id="13" w:name="_0ac43a061447e3958680aa9d7ed60a96f3485b4"/>
      <w:r>
        <w:t xml:space="preserve">5. Exercise Price</w:t>
      </w:r>
    </w:p>
    <w:p>
      <w:pPr>
        <w:pStyle w:val="FirstParagraph"/>
      </w:pPr>
      <w:r>
        <w:t xml:space="preserve">FMV at grant.</w:t>
      </w:r>
    </w:p>
    <w:p>
      <w:pPr>
        <w:pStyle w:val="Heading2"/>
      </w:pPr>
      <w:bookmarkStart w:id="14" w:name="_administration"/>
      <w:r>
        <w:t xml:space="preserve">6. Administration</w:t>
      </w:r>
    </w:p>
    <w:p>
      <w:pPr>
        <w:pStyle w:val="FirstParagraph"/>
      </w:pPr>
      <w:r>
        <w:t xml:space="preserve">Board or Comp Committee.</w:t>
      </w:r>
    </w:p>
    <w:p>
      <w:pPr>
        <w:pStyle w:val="Heading2"/>
      </w:pPr>
      <w:bookmarkStart w:id="15" w:name="_termination"/>
      <w:r>
        <w:t xml:space="preserve">7. Termination</w:t>
      </w:r>
    </w:p>
    <w:p>
      <w:pPr>
        <w:pStyle w:val="FirstParagraph"/>
      </w:pPr>
      <w:r>
        <w:t xml:space="preserve">Unvested forfeit; vested 90 days to exercise.</w:t>
      </w:r>
    </w:p>
    <w:p>
      <w:pPr>
        <w:pStyle w:val="Heading2"/>
      </w:pPr>
      <w:bookmarkStart w:id="16" w:name="_5cae9bd66fb425bf577abec2220c61c9ee040cb"/>
      <w:r>
        <w:t xml:space="preserve">8. Change of Control</w:t>
      </w:r>
    </w:p>
    <w:p>
      <w:pPr>
        <w:pStyle w:val="FirstParagraph"/>
      </w:pPr>
      <w:r>
        <w:t xml:space="preserve">Single/double trigger.</w:t>
      </w:r>
    </w:p>
    <w:p>
      <w:pPr>
        <w:pStyle w:val="Heading2"/>
      </w:pPr>
      <w:bookmarkStart w:id="17" w:name="_816ff414627b9c0347624b7b37d0b0d498a46b4"/>
      <w:r>
        <w:t xml:space="preserve">9. Governing Law</w:t>
      </w:r>
    </w:p>
    <w:p>
      <w:pPr>
        <w:pStyle w:val="FirstParagraph"/>
      </w:pPr>
      <w:r>
        <w:t xml:space="preserve">KSA.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ESOP Plan Outline</dc:title>
  <dc:creator>HISN Platform</dc:creator>
  <cp:keywords>HISN, FCDOS, financial crime, decision operating system</cp:keywords>
  <dcterms:created xsi:type="dcterms:W3CDTF">2026-10-13T13:04:09Z</dcterms:created>
  <dcterms:modified xsi:type="dcterms:W3CDTF">2026-10-13T13:04:09Z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