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ONE-WAY NON-DISCLOSURE AGREEMENT</w:t>
      </w:r>
    </w:p>
    <w:p>
      <w:pPr>
        <w:pStyle w:val="BodyText"/>
      </w:pPr>
      <w:r>
        <w:rPr>
          <w:b/>
          <w:bCs/>
        </w:rPr>
        <w:t xml:space="preserve">Disclosing Party:</w:t>
      </w:r>
      <w:r>
        <w:t xml:space="preserve"> </w:t>
      </w:r>
      <w:r>
        <w:t xml:space="preserve">HISN Platform / Abdo-Tec</w:t>
      </w:r>
      <w:r>
        <w:t xml:space="preserve"> </w:t>
      </w:r>
      <w:r>
        <w:rPr>
          <w:b/>
          <w:bCs/>
        </w:rPr>
        <w:t xml:space="preserve">Receiving Party:</w:t>
      </w:r>
      <w:r>
        <w:t xml:space="preserve"> </w:t>
      </w:r>
      <w:r>
        <w:t xml:space="preserve">______________________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______________________</w:t>
      </w:r>
    </w:p>
    <w:p>
      <w:pPr>
        <w:pStyle w:val="Heading2"/>
      </w:pPr>
      <w:bookmarkStart w:id="9" w:name="_purpose"/>
      <w:r>
        <w:t xml:space="preserve">1. Purpose</w:t>
      </w:r>
    </w:p>
    <w:p>
      <w:pPr>
        <w:pStyle w:val="FirstParagraph"/>
      </w:pPr>
      <w:r>
        <w:t xml:space="preserve">Evaluation of a potential investment, partnership, or commercial relationship.</w:t>
      </w:r>
    </w:p>
    <w:p>
      <w:pPr>
        <w:pStyle w:val="Heading2"/>
      </w:pPr>
      <w:bookmarkStart w:id="10" w:name="_36cdabfa43bd44ffd59e75e219bd7b722c01f26"/>
      <w:r>
        <w:t xml:space="preserve">2. Confidential Information</w:t>
      </w:r>
    </w:p>
    <w:p>
      <w:pPr>
        <w:pStyle w:val="Compact"/>
        <w:numPr>
          <w:ilvl w:val="0"/>
          <w:numId w:val="1001"/>
        </w:numPr>
      </w:pPr>
      <w:r>
        <w:t xml:space="preserve">Source code, architecture, ADRs</w:t>
      </w:r>
    </w:p>
    <w:p>
      <w:pPr>
        <w:pStyle w:val="Compact"/>
        <w:numPr>
          <w:ilvl w:val="0"/>
          <w:numId w:val="1001"/>
        </w:numPr>
      </w:pPr>
      <w:r>
        <w:t xml:space="preserve">Capability catalogs, roadmaps</w:t>
      </w:r>
    </w:p>
    <w:p>
      <w:pPr>
        <w:pStyle w:val="Compact"/>
        <w:numPr>
          <w:ilvl w:val="0"/>
          <w:numId w:val="1001"/>
        </w:numPr>
      </w:pPr>
      <w:r>
        <w:t xml:space="preserve">Investor Data Room contents</w:t>
      </w:r>
    </w:p>
    <w:p>
      <w:pPr>
        <w:pStyle w:val="Compact"/>
        <w:numPr>
          <w:ilvl w:val="0"/>
          <w:numId w:val="1001"/>
        </w:numPr>
      </w:pPr>
      <w:r>
        <w:t xml:space="preserve">Financial models, valuations</w:t>
      </w:r>
    </w:p>
    <w:p>
      <w:pPr>
        <w:pStyle w:val="Compact"/>
        <w:numPr>
          <w:ilvl w:val="0"/>
          <w:numId w:val="1001"/>
        </w:numPr>
      </w:pPr>
      <w:r>
        <w:t xml:space="preserve">Customer and pipeline information</w:t>
      </w:r>
    </w:p>
    <w:p>
      <w:pPr>
        <w:pStyle w:val="Heading2"/>
      </w:pPr>
      <w:bookmarkStart w:id="11" w:name="_obligations"/>
      <w:r>
        <w:t xml:space="preserve">3. Obligations</w:t>
      </w:r>
    </w:p>
    <w:p>
      <w:pPr>
        <w:pStyle w:val="Compact"/>
        <w:numPr>
          <w:ilvl w:val="0"/>
          <w:numId w:val="1002"/>
        </w:numPr>
      </w:pPr>
      <w:r>
        <w:t xml:space="preserve">Reasonable care</w:t>
      </w:r>
    </w:p>
    <w:p>
      <w:pPr>
        <w:pStyle w:val="Compact"/>
        <w:numPr>
          <w:ilvl w:val="0"/>
          <w:numId w:val="1002"/>
        </w:numPr>
      </w:pPr>
      <w:r>
        <w:t xml:space="preserve">Use solely for evaluation</w:t>
      </w:r>
    </w:p>
    <w:p>
      <w:pPr>
        <w:pStyle w:val="Compact"/>
        <w:numPr>
          <w:ilvl w:val="0"/>
          <w:numId w:val="1002"/>
        </w:numPr>
      </w:pPr>
      <w:r>
        <w:t xml:space="preserve">No third-party disclosure</w:t>
      </w:r>
    </w:p>
    <w:p>
      <w:pPr>
        <w:pStyle w:val="Compact"/>
        <w:numPr>
          <w:ilvl w:val="0"/>
          <w:numId w:val="1002"/>
        </w:numPr>
      </w:pPr>
      <w:r>
        <w:t xml:space="preserve">No competitive use</w:t>
      </w:r>
    </w:p>
    <w:p>
      <w:pPr>
        <w:pStyle w:val="Heading2"/>
      </w:pPr>
      <w:bookmarkStart w:id="12" w:name="_term"/>
      <w:r>
        <w:t xml:space="preserve">4. Term</w:t>
      </w:r>
    </w:p>
    <w:p>
      <w:pPr>
        <w:pStyle w:val="FirstParagraph"/>
      </w:pPr>
      <w:r>
        <w:t xml:space="preserve">5 years.</w:t>
      </w:r>
    </w:p>
    <w:p>
      <w:pPr>
        <w:pStyle w:val="Heading2"/>
      </w:pPr>
      <w:bookmarkStart w:id="13" w:name="_remedies"/>
      <w:r>
        <w:t xml:space="preserve">5. Remedies</w:t>
      </w:r>
    </w:p>
    <w:p>
      <w:pPr>
        <w:pStyle w:val="FirstParagraph"/>
      </w:pPr>
      <w:r>
        <w:t xml:space="preserve">Injunctive relief available.</w:t>
      </w:r>
    </w:p>
    <w:p>
      <w:pPr>
        <w:pStyle w:val="Heading2"/>
      </w:pPr>
      <w:bookmarkStart w:id="14" w:name="_816ff414627b9c0347624b7b37d0b0d498a46b4"/>
      <w:r>
        <w:t xml:space="preserve">6. Governing Law</w:t>
      </w:r>
    </w:p>
    <w:p>
      <w:pPr>
        <w:pStyle w:val="FirstParagraph"/>
      </w:pPr>
      <w:r>
        <w:t xml:space="preserve">KSA.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Legal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NDA OneWay</dc:title>
  <dc:creator>HISN Platform</dc:creator>
  <cp:keywords>HISN, FCDOS, financial crime, decision operating system</cp:keywords>
  <dcterms:created xsi:type="dcterms:W3CDTF">2026-10-13T13:04:10Z</dcterms:created>
  <dcterms:modified xsi:type="dcterms:W3CDTF">2026-10-13T13:04:10Z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