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PATENT STRATEGY</w:t>
      </w:r>
    </w:p>
    <w:p>
      <w:pPr>
        <w:pStyle w:val="Heading2"/>
      </w:pPr>
      <w:bookmarkStart w:id="9" w:name="_candidates"/>
      <w:r>
        <w:t xml:space="preserve">Candidates</w:t>
      </w:r>
    </w:p>
    <w:p>
      <w:pPr>
        <w:pStyle w:val="Compact"/>
        <w:numPr>
          <w:ilvl w:val="0"/>
          <w:numId w:val="1001"/>
        </w:numPr>
      </w:pPr>
      <w:r>
        <w:t xml:space="preserve">Canonical Decision Runtime</w:t>
      </w:r>
    </w:p>
    <w:p>
      <w:pPr>
        <w:pStyle w:val="Compact"/>
        <w:numPr>
          <w:ilvl w:val="0"/>
          <w:numId w:val="1001"/>
        </w:numPr>
      </w:pPr>
      <w:r>
        <w:t xml:space="preserve">Decision DNA</w:t>
      </w:r>
    </w:p>
    <w:p>
      <w:pPr>
        <w:pStyle w:val="Compact"/>
        <w:numPr>
          <w:ilvl w:val="0"/>
          <w:numId w:val="1001"/>
        </w:numPr>
      </w:pPr>
      <w:r>
        <w:t xml:space="preserve">Multi-tenant RLS architecture</w:t>
      </w:r>
    </w:p>
    <w:p>
      <w:pPr>
        <w:pStyle w:val="Heading2"/>
      </w:pPr>
      <w:bookmarkStart w:id="10" w:name="_jurisdictions"/>
      <w:r>
        <w:t xml:space="preserve">Jurisdictions</w:t>
      </w:r>
    </w:p>
    <w:p>
      <w:pPr>
        <w:pStyle w:val="FirstParagraph"/>
      </w:pPr>
      <w:r>
        <w:t xml:space="preserve">KSA, US, EU (via PCT)</w:t>
      </w:r>
    </w:p>
    <w:p>
      <w:pPr>
        <w:pStyle w:val="Heading2"/>
      </w:pPr>
      <w:bookmarkStart w:id="11" w:name="_status"/>
      <w:r>
        <w:t xml:space="preserve">Status</w:t>
      </w:r>
    </w:p>
    <w:p>
      <w:pPr>
        <w:pStyle w:val="Compact"/>
        <w:numPr>
          <w:ilvl w:val="0"/>
          <w:numId w:val="1002"/>
        </w:numPr>
      </w:pPr>
      <w:r>
        <w:t xml:space="preserve">Prior art search</w:t>
      </w:r>
    </w:p>
    <w:p>
      <w:pPr>
        <w:pStyle w:val="Compact"/>
        <w:numPr>
          <w:ilvl w:val="0"/>
          <w:numId w:val="1003"/>
        </w:numPr>
      </w:pPr>
      <w:r>
        <w:t xml:space="preserve">Provisional filed</w:t>
      </w:r>
    </w:p>
    <w:p>
      <w:pPr>
        <w:pStyle w:val="Compact"/>
        <w:numPr>
          <w:ilvl w:val="0"/>
          <w:numId w:val="1004"/>
        </w:numPr>
      </w:pPr>
      <w:r>
        <w:t xml:space="preserve">PCT filed</w:t>
      </w:r>
    </w:p>
    <w:p>
      <w:pPr>
        <w:pStyle w:val="Compact"/>
        <w:numPr>
          <w:ilvl w:val="0"/>
          <w:numId w:val="1005"/>
        </w:numPr>
      </w:pPr>
      <w:r>
        <w:t xml:space="preserve">National phase</w:t>
      </w:r>
    </w:p>
    <w:p>
      <w:pPr>
        <w:pStyle w:val="Heading2"/>
      </w:pPr>
      <w:bookmarkStart w:id="12" w:name="_budget"/>
      <w:r>
        <w:t xml:space="preserve">Budget</w:t>
      </w:r>
    </w:p>
    <w:p>
      <w:pPr>
        <w:pStyle w:val="FirstParagraph"/>
      </w:pPr>
      <w:r>
        <w:t xml:space="preserve">SAR 500K over 3 years</w:t>
      </w:r>
    </w:p>
    <w:p>
      <w:pPr>
        <w:pStyle w:val="Heading2"/>
      </w:pPr>
      <w:bookmarkStart w:id="13" w:name="_alternative"/>
      <w:r>
        <w:t xml:space="preserve">Alternative</w:t>
      </w:r>
    </w:p>
    <w:p>
      <w:pPr>
        <w:pStyle w:val="FirstParagraph"/>
      </w:pPr>
      <w:r>
        <w:t xml:space="preserve">Trade secret for core algorithms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Patent Strategy</dc:title>
  <dc:creator>HISN Platform</dc:creator>
  <cp:keywords>HISN, FCDOS, financial crime, decision operating system</cp:keywords>
  <dcterms:created xsi:type="dcterms:W3CDTF">2026-10-14T06:28:31Z</dcterms:created>
  <dcterms:modified xsi:type="dcterms:W3CDTF">2026-10-14T06:28:31Z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