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PRIVACY POLICY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Heading2"/>
      </w:pPr>
      <w:bookmarkStart w:id="10" w:name="_4c78d93eced62dd5b4fb6ced2c37f844eac7043"/>
      <w:r>
        <w:t xml:space="preserve">2. Data We Collect</w:t>
      </w:r>
    </w:p>
    <w:p>
      <w:pPr>
        <w:pStyle w:val="Heading2"/>
      </w:pPr>
      <w:bookmarkStart w:id="11" w:name="_e5555bbcc27f58f53e0e544d5727e054b890d07"/>
      <w:r>
        <w:t xml:space="preserve">3. Lawful Basis</w:t>
      </w:r>
    </w:p>
    <w:p>
      <w:pPr>
        <w:pStyle w:val="Heading2"/>
      </w:pPr>
      <w:bookmarkStart w:id="12" w:name="_fa510082db6db2e561bea5ec5e600a14e24c274"/>
      <w:r>
        <w:t xml:space="preserve">4. How We Use Data</w:t>
      </w:r>
    </w:p>
    <w:p>
      <w:pPr>
        <w:pStyle w:val="Heading2"/>
      </w:pPr>
      <w:bookmarkStart w:id="13" w:name="_sharing"/>
      <w:r>
        <w:t xml:space="preserve">5. Sharing</w:t>
      </w:r>
    </w:p>
    <w:p>
      <w:pPr>
        <w:pStyle w:val="Heading2"/>
      </w:pPr>
      <w:bookmarkStart w:id="14" w:name="_retention"/>
      <w:r>
        <w:t xml:space="preserve">6. Retention</w:t>
      </w:r>
    </w:p>
    <w:p>
      <w:pPr>
        <w:pStyle w:val="Heading2"/>
      </w:pPr>
      <w:bookmarkStart w:id="15" w:name="_2ce001387732ac3aa3f28f3fc3581670ae4f37e"/>
      <w:r>
        <w:t xml:space="preserve">7. Your Rights (PDPL)</w:t>
      </w:r>
    </w:p>
    <w:p>
      <w:pPr>
        <w:pStyle w:val="Heading2"/>
      </w:pPr>
      <w:bookmarkStart w:id="16" w:name="_security"/>
      <w:r>
        <w:t xml:space="preserve">8. Security</w:t>
      </w:r>
    </w:p>
    <w:p>
      <w:pPr>
        <w:pStyle w:val="Heading2"/>
      </w:pPr>
      <w:bookmarkStart w:id="17" w:name="_cookies"/>
      <w:r>
        <w:t xml:space="preserve">9. Cookies</w:t>
      </w:r>
    </w:p>
    <w:p>
      <w:pPr>
        <w:pStyle w:val="Heading2"/>
      </w:pPr>
      <w:bookmarkStart w:id="18" w:name="_ae72ff85e6d148d06a712a28a65abc4f97abcad"/>
      <w:r>
        <w:t xml:space="preserve">10. Cross-Border</w:t>
      </w:r>
    </w:p>
    <w:p>
      <w:pPr>
        <w:pStyle w:val="Heading2"/>
      </w:pPr>
      <w:bookmarkStart w:id="19" w:name="_contact"/>
      <w:r>
        <w:t xml:space="preserve">11. Contact</w:t>
      </w:r>
    </w:p>
    <w:p>
      <w:pPr>
        <w:pStyle w:val="FirstParagraph"/>
      </w:pPr>
      <w:r>
        <w:t xml:space="preserve">privacy@hisn.sa</w:t>
      </w:r>
    </w:p>
    <w:p>
      <w:pPr>
        <w:pStyle w:val="Heading2"/>
      </w:pPr>
      <w:bookmarkStart w:id="20" w:name="_updates"/>
      <w:r>
        <w:t xml:space="preserve">12. Updates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Legal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Policy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