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SHAREHOLDERS’ AGREEMENT — OUTLINE</w:t>
      </w:r>
    </w:p>
    <w:p>
      <w:pPr>
        <w:pStyle w:val="Heading2"/>
      </w:pPr>
      <w:bookmarkStart w:id="9" w:name="_parties"/>
      <w:r>
        <w:t xml:space="preserve">1. Parties</w:t>
      </w:r>
    </w:p>
    <w:p>
      <w:pPr>
        <w:pStyle w:val="FirstParagraph"/>
      </w:pPr>
      <w:r>
        <w:t xml:space="preserve">Founders, Investors, ESOP Trustee.</w:t>
      </w:r>
    </w:p>
    <w:p>
      <w:pPr>
        <w:pStyle w:val="Heading2"/>
      </w:pPr>
      <w:bookmarkStart w:id="10" w:name="_976d2291841a678b21a5f6dba8e6e291caee9e7"/>
      <w:r>
        <w:t xml:space="preserve">2. Share Capital</w:t>
      </w:r>
    </w:p>
    <w:p>
      <w:pPr>
        <w:pStyle w:val="FirstParagraph"/>
      </w:pPr>
      <w:r>
        <w:t xml:space="preserve">Ordinary, Preferred, ESOP.</w:t>
      </w:r>
    </w:p>
    <w:p>
      <w:pPr>
        <w:pStyle w:val="Heading2"/>
      </w:pPr>
      <w:bookmarkStart w:id="11" w:name="_governance"/>
      <w:r>
        <w:t xml:space="preserve">3. Governance</w:t>
      </w:r>
    </w:p>
    <w:p>
      <w:pPr>
        <w:pStyle w:val="FirstParagraph"/>
      </w:pPr>
      <w:r>
        <w:t xml:space="preserve">Board size, reserved matters, cadence.</w:t>
      </w:r>
    </w:p>
    <w:p>
      <w:pPr>
        <w:pStyle w:val="Heading2"/>
      </w:pPr>
      <w:bookmarkStart w:id="12" w:name="_686ac5ee1cc6b9c68c919e88a8ac95ce8fc0b28"/>
      <w:r>
        <w:t xml:space="preserve">4. Reserved Matters</w:t>
      </w:r>
    </w:p>
    <w:p>
      <w:pPr>
        <w:pStyle w:val="FirstParagraph"/>
      </w:pPr>
      <w:r>
        <w:t xml:space="preserve">New issuance; M&amp;A; debt; business change; related-party; CEO/CFO appointment.</w:t>
      </w:r>
    </w:p>
    <w:p>
      <w:pPr>
        <w:pStyle w:val="Heading2"/>
      </w:pPr>
      <w:bookmarkStart w:id="13" w:name="_2658c38619b1fd4f22a32b80bf20711403bbecf"/>
      <w:r>
        <w:t xml:space="preserve">5. Transfer Restrictions</w:t>
      </w:r>
    </w:p>
    <w:p>
      <w:pPr>
        <w:pStyle w:val="FirstParagraph"/>
      </w:pPr>
      <w:r>
        <w:t xml:space="preserve">ROFR, tag-along, drag-along, lock-up.</w:t>
      </w:r>
    </w:p>
    <w:p>
      <w:pPr>
        <w:pStyle w:val="Heading2"/>
      </w:pPr>
      <w:bookmarkStart w:id="14" w:name="_9a53c3bc53c3ceb78149ff47fb02062be4d9c22"/>
      <w:r>
        <w:t xml:space="preserve">6. Anti-Dilution</w:t>
      </w:r>
    </w:p>
    <w:p>
      <w:pPr>
        <w:pStyle w:val="FirstParagraph"/>
      </w:pPr>
      <w:r>
        <w:t xml:space="preserve">Broad-based weighted average.</w:t>
      </w:r>
    </w:p>
    <w:p>
      <w:pPr>
        <w:pStyle w:val="Heading2"/>
      </w:pPr>
      <w:bookmarkStart w:id="15" w:name="_89e1d6ec31a6b480aa5ecf58a503dac849fb242"/>
      <w:r>
        <w:t xml:space="preserve">7. Information &amp; Reporting</w:t>
      </w:r>
    </w:p>
    <w:p>
      <w:pPr>
        <w:pStyle w:val="FirstParagraph"/>
      </w:pPr>
      <w:r>
        <w:t xml:space="preserve">Monthly, quarterly, annual; audit rights.</w:t>
      </w:r>
    </w:p>
    <w:p>
      <w:pPr>
        <w:pStyle w:val="Heading2"/>
      </w:pPr>
      <w:bookmarkStart w:id="16" w:name="_39727dd5195413a52a0d2c9c184a1e7a8eefad2"/>
      <w:r>
        <w:t xml:space="preserve">8. Non-Compete</w:t>
      </w:r>
    </w:p>
    <w:p>
      <w:pPr>
        <w:pStyle w:val="FirstParagraph"/>
      </w:pPr>
      <w:r>
        <w:t xml:space="preserve">Founders 2 years post-exit; key employees 1 year.</w:t>
      </w:r>
    </w:p>
    <w:p>
      <w:pPr>
        <w:pStyle w:val="Heading2"/>
      </w:pPr>
      <w:bookmarkStart w:id="17" w:name="_exit"/>
      <w:r>
        <w:t xml:space="preserve">9. Exit</w:t>
      </w:r>
    </w:p>
    <w:p>
      <w:pPr>
        <w:pStyle w:val="FirstParagraph"/>
      </w:pPr>
      <w:r>
        <w:t xml:space="preserve">IPO, trade sale, secondary, liquidation waterfall.</w:t>
      </w:r>
    </w:p>
    <w:p>
      <w:pPr>
        <w:pStyle w:val="Heading2"/>
      </w:pPr>
      <w:bookmarkStart w:id="18" w:name="_8bd0871f70613eee70ffbc6e5d4618c93296b0f"/>
      <w:r>
        <w:t xml:space="preserve">10. Dispute Resolution</w:t>
      </w:r>
    </w:p>
    <w:p>
      <w:pPr>
        <w:pStyle w:val="FirstParagraph"/>
      </w:pPr>
      <w:r>
        <w:t xml:space="preserve">Arbitration in Riyadh (SCCA).</w:t>
      </w:r>
    </w:p>
    <w:p>
      <w:pPr>
        <w:pStyle w:val="Heading2"/>
      </w:pPr>
      <w:bookmarkStart w:id="19" w:name="_816ff414627b9c0347624b7b37d0b0d498a46b4"/>
      <w:r>
        <w:t xml:space="preserve">11. Governing Law</w:t>
      </w:r>
    </w:p>
    <w:p>
      <w:pPr>
        <w:pStyle w:val="FirstParagraph"/>
      </w:pPr>
      <w:r>
        <w:t xml:space="preserve">KSA.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Shareholders Agreement Outline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