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TERM SHEET — HISN Platform</w:t>
      </w:r>
    </w:p>
    <w:p>
      <w:pPr>
        <w:pStyle w:val="BodyText"/>
      </w:pPr>
      <w:r>
        <w:rPr>
          <w:b/>
          <w:bCs/>
        </w:rPr>
        <w:t xml:space="preserve">Round:</w:t>
      </w:r>
      <w:r>
        <w:t xml:space="preserve"> </w:t>
      </w:r>
      <w:r>
        <w:t xml:space="preserve">Pre-Seed / Seed</w:t>
      </w:r>
      <w:r>
        <w:t xml:space="preserve"> </w:t>
      </w:r>
      <w:r>
        <w:rPr>
          <w:b/>
          <w:bCs/>
        </w:rPr>
        <w:t xml:space="preserve">Target Raise:</w:t>
      </w:r>
      <w:r>
        <w:t xml:space="preserve"> </w:t>
      </w:r>
      <w:r>
        <w:t xml:space="preserve">SAR 7,500,000</w:t>
      </w:r>
      <w:r>
        <w:t xml:space="preserve"> </w:t>
      </w:r>
      <w:r>
        <w:rPr>
          <w:b/>
          <w:bCs/>
        </w:rPr>
        <w:t xml:space="preserve">Pre-Money:</w:t>
      </w:r>
      <w:r>
        <w:t xml:space="preserve"> </w:t>
      </w:r>
      <w:r>
        <w:t xml:space="preserve">SAR 30,000,000 (target / indicative)</w:t>
      </w:r>
      <w:r>
        <w:t xml:space="preserve"> </w:t>
      </w:r>
      <w:r>
        <w:rPr>
          <w:b/>
          <w:bCs/>
        </w:rPr>
        <w:t xml:space="preserve">Post-Money:</w:t>
      </w:r>
      <w:r>
        <w:t xml:space="preserve"> </w:t>
      </w:r>
      <w:r>
        <w:t xml:space="preserve">SAR 37,500,000</w:t>
      </w:r>
      <w:r>
        <w:t xml:space="preserve"> </w:t>
      </w:r>
      <w:r>
        <w:rPr>
          <w:b/>
          <w:bCs/>
        </w:rPr>
        <w:t xml:space="preserve">Investor Ownership:</w:t>
      </w:r>
      <w:r>
        <w:t xml:space="preserve"> </w:t>
      </w:r>
      <w:r>
        <w:t xml:space="preserve">20% (indicative)</w:t>
      </w:r>
    </w:p>
    <w:p>
      <w:pPr>
        <w:pStyle w:val="Heading2"/>
      </w:pPr>
      <w:bookmarkStart w:id="9" w:name="_securities"/>
      <w:r>
        <w:t xml:space="preserve">1. Securities</w:t>
      </w:r>
    </w:p>
    <w:p>
      <w:pPr>
        <w:pStyle w:val="FirstParagraph"/>
      </w:pPr>
      <w:r>
        <w:t xml:space="preserve">Preferred Shares (or SAFE / Convertible).</w:t>
      </w:r>
    </w:p>
    <w:p>
      <w:pPr>
        <w:pStyle w:val="Heading2"/>
      </w:pPr>
      <w:bookmarkStart w:id="10" w:name="_b3343d2f73a4675ece5366f2315cb2fd0a10991"/>
      <w:r>
        <w:t xml:space="preserve">2. Liquidation Preference</w:t>
      </w:r>
    </w:p>
    <w:p>
      <w:pPr>
        <w:pStyle w:val="FirstParagraph"/>
      </w:pPr>
      <w:r>
        <w:t xml:space="preserve">1x non-participating.</w:t>
      </w:r>
    </w:p>
    <w:p>
      <w:pPr>
        <w:pStyle w:val="Heading2"/>
      </w:pPr>
      <w:bookmarkStart w:id="11" w:name="_board"/>
      <w:r>
        <w:t xml:space="preserve">3. Board</w:t>
      </w:r>
    </w:p>
    <w:p>
      <w:pPr>
        <w:pStyle w:val="FirstParagraph"/>
      </w:pPr>
      <w:r>
        <w:t xml:space="preserve">3 seats: 2 Founder, 1 Investor.</w:t>
      </w:r>
    </w:p>
    <w:p>
      <w:pPr>
        <w:pStyle w:val="Heading2"/>
      </w:pPr>
      <w:bookmarkStart w:id="12" w:name="_1e586100864f30990c66942bff666b428bd4718"/>
      <w:r>
        <w:t xml:space="preserve">4. Information Rights</w:t>
      </w:r>
    </w:p>
    <w:p>
      <w:pPr>
        <w:pStyle w:val="FirstParagraph"/>
      </w:pPr>
      <w:r>
        <w:t xml:space="preserve">Monthly, quarterly, annual.</w:t>
      </w:r>
    </w:p>
    <w:p>
      <w:pPr>
        <w:pStyle w:val="Heading2"/>
      </w:pPr>
      <w:bookmarkStart w:id="13" w:name="_6add625f56d080c945bd708ef9be7e5f5eee843"/>
      <w:r>
        <w:t xml:space="preserve">5. Pro-Rata</w:t>
      </w:r>
    </w:p>
    <w:p>
      <w:pPr>
        <w:pStyle w:val="FirstParagraph"/>
      </w:pPr>
      <w:r>
        <w:t xml:space="preserve">Investor right in future rounds.</w:t>
      </w:r>
    </w:p>
    <w:p>
      <w:pPr>
        <w:pStyle w:val="Heading2"/>
      </w:pPr>
      <w:bookmarkStart w:id="14" w:name="_9a53c3bc53c3ceb78149ff47fb02062be4d9c22"/>
      <w:r>
        <w:t xml:space="preserve">6. Anti-Dilution</w:t>
      </w:r>
    </w:p>
    <w:p>
      <w:pPr>
        <w:pStyle w:val="FirstParagraph"/>
      </w:pPr>
      <w:r>
        <w:t xml:space="preserve">Broad-based weighted average.</w:t>
      </w:r>
    </w:p>
    <w:p>
      <w:pPr>
        <w:pStyle w:val="Heading2"/>
      </w:pPr>
      <w:bookmarkStart w:id="15" w:name="_vesting"/>
      <w:r>
        <w:t xml:space="preserve">7. Vesting</w:t>
      </w:r>
    </w:p>
    <w:p>
      <w:pPr>
        <w:pStyle w:val="FirstParagraph"/>
      </w:pPr>
      <w:r>
        <w:t xml:space="preserve">Founders: 4 years, 1-year cliff.</w:t>
      </w:r>
    </w:p>
    <w:p>
      <w:pPr>
        <w:pStyle w:val="Heading2"/>
      </w:pPr>
      <w:bookmarkStart w:id="16" w:name="_esop"/>
      <w:r>
        <w:t xml:space="preserve">8. ESOP</w:t>
      </w:r>
    </w:p>
    <w:p>
      <w:pPr>
        <w:pStyle w:val="FirstParagraph"/>
      </w:pPr>
      <w:r>
        <w:t xml:space="preserve">10% pool.</w:t>
      </w:r>
    </w:p>
    <w:p>
      <w:pPr>
        <w:pStyle w:val="Heading2"/>
      </w:pPr>
      <w:bookmarkStart w:id="17" w:name="_3b8c242903304135c47fd2b218fa417ed75df07"/>
      <w:r>
        <w:t xml:space="preserve">9. Use of Proceeds</w:t>
      </w:r>
    </w:p>
    <w:p>
      <w:pPr>
        <w:pStyle w:val="Compact"/>
        <w:numPr>
          <w:ilvl w:val="0"/>
          <w:numId w:val="1001"/>
        </w:numPr>
      </w:pPr>
      <w:r>
        <w:t xml:space="preserve">Team 40%</w:t>
      </w:r>
    </w:p>
    <w:p>
      <w:pPr>
        <w:pStyle w:val="Compact"/>
        <w:numPr>
          <w:ilvl w:val="0"/>
          <w:numId w:val="1001"/>
        </w:numPr>
      </w:pPr>
      <w:r>
        <w:t xml:space="preserve">Security 20%</w:t>
      </w:r>
    </w:p>
    <w:p>
      <w:pPr>
        <w:pStyle w:val="Compact"/>
        <w:numPr>
          <w:ilvl w:val="0"/>
          <w:numId w:val="1001"/>
        </w:numPr>
      </w:pPr>
      <w:r>
        <w:t xml:space="preserve">Product 15%</w:t>
      </w:r>
    </w:p>
    <w:p>
      <w:pPr>
        <w:pStyle w:val="Compact"/>
        <w:numPr>
          <w:ilvl w:val="0"/>
          <w:numId w:val="1001"/>
        </w:numPr>
      </w:pPr>
      <w:r>
        <w:t xml:space="preserve">GTM 15%</w:t>
      </w:r>
    </w:p>
    <w:p>
      <w:pPr>
        <w:pStyle w:val="Compact"/>
        <w:numPr>
          <w:ilvl w:val="0"/>
          <w:numId w:val="1001"/>
        </w:numPr>
      </w:pPr>
      <w:r>
        <w:t xml:space="preserve">Working Capital 10%</w:t>
      </w:r>
    </w:p>
    <w:p>
      <w:pPr>
        <w:pStyle w:val="Heading2"/>
      </w:pPr>
      <w:bookmarkStart w:id="18" w:name="_7edbfe35e8b550c823263d5e404d2a9e15f7aed"/>
      <w:r>
        <w:t xml:space="preserve">10. Closing Conditions</w:t>
      </w:r>
    </w:p>
    <w:p>
      <w:pPr>
        <w:pStyle w:val="FirstParagraph"/>
      </w:pPr>
      <w:r>
        <w:t xml:space="preserve">Legal DD satisfactory; definitive agreements signed; approvals.</w:t>
      </w:r>
    </w:p>
    <w:p>
      <w:pPr>
        <w:pStyle w:val="Heading2"/>
      </w:pPr>
      <w:bookmarkStart w:id="19" w:name="_816ff414627b9c0347624b7b37d0b0d498a46b4"/>
      <w:r>
        <w:t xml:space="preserve">11. Governing Law</w:t>
      </w:r>
    </w:p>
    <w:p>
      <w:pPr>
        <w:pStyle w:val="FirstParagraph"/>
      </w:pPr>
      <w:r>
        <w:t xml:space="preserve">KSA.</w:t>
      </w:r>
    </w:p>
    <w:p>
      <w:pPr>
        <w:pStyle w:val="Heading2"/>
      </w:pPr>
      <w:bookmarkStart w:id="20" w:name="_confidentiality"/>
      <w:r>
        <w:t xml:space="preserve">12. Confidentiality</w:t>
      </w:r>
    </w:p>
    <w:p>
      <w:pPr>
        <w:pStyle w:val="FirstParagraph"/>
      </w:pPr>
      <w:r>
        <w:t xml:space="preserve">Binding until definitive agreements.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Sheet Template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