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TERMS OF SERVICE</w:t>
      </w:r>
    </w:p>
    <w:p>
      <w:pPr>
        <w:pStyle w:val="Heading2"/>
      </w:pPr>
      <w:bookmarkStart w:id="9" w:name="_acceptance"/>
      <w:r>
        <w:t xml:space="preserve">1. Acceptance</w:t>
      </w:r>
    </w:p>
    <w:p>
      <w:pPr>
        <w:pStyle w:val="Heading2"/>
      </w:pPr>
      <w:bookmarkStart w:id="10" w:name="_7d020daa4213f04dd37208add283c51dd543b6e"/>
      <w:r>
        <w:t xml:space="preserve">2. License Grant</w:t>
      </w:r>
    </w:p>
    <w:p>
      <w:pPr>
        <w:pStyle w:val="Heading2"/>
      </w:pPr>
      <w:bookmarkStart w:id="11" w:name="_restrictions"/>
      <w:r>
        <w:t xml:space="preserve">3. Restrictions</w:t>
      </w:r>
    </w:p>
    <w:p>
      <w:pPr>
        <w:pStyle w:val="Heading2"/>
      </w:pPr>
      <w:bookmarkStart w:id="12" w:name="_f6d01c16f05260aebd33f46877cbe6e76ef13d3"/>
      <w:r>
        <w:t xml:space="preserve">4. Customer Obligations</w:t>
      </w:r>
    </w:p>
    <w:p>
      <w:pPr>
        <w:pStyle w:val="Heading2"/>
      </w:pPr>
      <w:bookmarkStart w:id="13" w:name="_fees"/>
      <w:r>
        <w:t xml:space="preserve">5. Fees</w:t>
      </w:r>
    </w:p>
    <w:p>
      <w:pPr>
        <w:pStyle w:val="Heading2"/>
      </w:pPr>
      <w:bookmarkStart w:id="14" w:name="_941ddf6f9e214abf3a32e4afb1e80e39fcf6a35"/>
      <w:r>
        <w:t xml:space="preserve">6. IP Ownership</w:t>
      </w:r>
    </w:p>
    <w:p>
      <w:pPr>
        <w:pStyle w:val="Heading2"/>
      </w:pPr>
      <w:bookmarkStart w:id="15" w:name="_confidentiality"/>
      <w:r>
        <w:t xml:space="preserve">7. Confidentiality</w:t>
      </w:r>
    </w:p>
    <w:p>
      <w:pPr>
        <w:pStyle w:val="Heading2"/>
      </w:pPr>
      <w:bookmarkStart w:id="16" w:name="_warranties"/>
      <w:r>
        <w:t xml:space="preserve">8. Warranties</w:t>
      </w:r>
    </w:p>
    <w:p>
      <w:pPr>
        <w:pStyle w:val="Heading2"/>
      </w:pPr>
      <w:bookmarkStart w:id="17" w:name="_a32fd3dc6828334576d050a441ea21a18698c88"/>
      <w:r>
        <w:t xml:space="preserve">9. Limitation of Liability</w:t>
      </w:r>
    </w:p>
    <w:p>
      <w:pPr>
        <w:pStyle w:val="Heading2"/>
      </w:pPr>
      <w:bookmarkStart w:id="18" w:name="_termination"/>
      <w:r>
        <w:t xml:space="preserve">10. Termination</w:t>
      </w:r>
    </w:p>
    <w:p>
      <w:pPr>
        <w:pStyle w:val="Heading2"/>
      </w:pPr>
      <w:bookmarkStart w:id="19" w:name="_816ff414627b9c0347624b7b37d0b0d498a46b4"/>
      <w:r>
        <w:t xml:space="preserve">11. Governing Law</w:t>
      </w:r>
    </w:p>
    <w:p>
      <w:pPr>
        <w:pStyle w:val="FirstParagraph"/>
      </w:pPr>
      <w:r>
        <w:t xml:space="preserve">KSA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Legal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Terms of Service</dc:title>
  <dc:creator>HISN Platform</dc:creator>
  <cp:keywords>HISN, FCDOS, financial crime, decision operating system</cp:keywords>
  <dcterms:created xsi:type="dcterms:W3CDTF">2026-10-14T06:28:31Z</dcterms:created>
  <dcterms:modified xsi:type="dcterms:W3CDTF">2026-10-14T06:28:31Z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