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COMPENSATION BANDS (SAR/Month)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Level</w:t>
            </w:r>
          </w:p>
        </w:tc>
        <w:tc>
          <w:tcPr/>
          <w:p>
            <w:pPr>
              <w:pStyle w:val="Compact"/>
            </w:pPr>
            <w:r>
              <w:t xml:space="preserve">Engineering</w:t>
            </w:r>
          </w:p>
        </w:tc>
        <w:tc>
          <w:tcPr/>
          <w:p>
            <w:pPr>
              <w:pStyle w:val="Compact"/>
            </w:pPr>
            <w:r>
              <w:t xml:space="preserve">Product</w:t>
            </w:r>
          </w:p>
        </w:tc>
        <w:tc>
          <w:tcPr/>
          <w:p>
            <w:pPr>
              <w:pStyle w:val="Compact"/>
            </w:pPr>
            <w:r>
              <w:t xml:space="preserve">Sales</w:t>
            </w:r>
          </w:p>
        </w:tc>
        <w:tc>
          <w:tcPr/>
          <w:p>
            <w:pPr>
              <w:pStyle w:val="Compact"/>
            </w:pPr>
            <w:r>
              <w:t xml:space="preserve">G&amp;A</w:t>
            </w:r>
          </w:p>
        </w:tc>
      </w:tr>
      <w:tr>
        <w:tc>
          <w:tcPr/>
          <w:p>
            <w:pPr>
              <w:pStyle w:val="Compact"/>
            </w:pPr>
            <w:r>
              <w:t xml:space="preserve">L1 Junior</w:t>
            </w:r>
          </w:p>
        </w:tc>
        <w:tc>
          <w:tcPr/>
          <w:p>
            <w:pPr>
              <w:pStyle w:val="Compact"/>
            </w:pPr>
            <w:r>
              <w:t xml:space="preserve">12,000-18,000</w:t>
            </w:r>
          </w:p>
        </w:tc>
        <w:tc>
          <w:tcPr/>
          <w:p>
            <w:pPr>
              <w:pStyle w:val="Compact"/>
            </w:pPr>
            <w:r>
              <w:t xml:space="preserve">10,000-15,000</w:t>
            </w:r>
          </w:p>
        </w:tc>
        <w:tc>
          <w:tcPr/>
          <w:p>
            <w:pPr>
              <w:pStyle w:val="Compact"/>
            </w:pPr>
            <w:r>
              <w:t xml:space="preserve">8,000-12,000</w:t>
            </w:r>
          </w:p>
        </w:tc>
        <w:tc>
          <w:tcPr/>
          <w:p>
            <w:pPr>
              <w:pStyle w:val="Compact"/>
            </w:pPr>
            <w:r>
              <w:t xml:space="preserve">8,000-12,000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L2 Mid</w:t>
            </w:r>
          </w:p>
        </w:tc>
        <w:tc>
          <w:tcPr/>
          <w:p>
            <w:pPr>
              <w:pStyle w:val="Compact"/>
            </w:pPr>
            <w:r>
              <w:t xml:space="preserve">18,000-28,000</w:t>
            </w:r>
          </w:p>
        </w:tc>
        <w:tc>
          <w:tcPr/>
          <w:p>
            <w:pPr>
              <w:pStyle w:val="Compact"/>
            </w:pPr>
            <w:r>
              <w:t xml:space="preserve">15,000-22,000</w:t>
            </w:r>
          </w:p>
        </w:tc>
        <w:tc>
          <w:tcPr/>
          <w:p>
            <w:pPr>
              <w:pStyle w:val="Compact"/>
            </w:pPr>
            <w:r>
              <w:t xml:space="preserve">12,000-18,000</w:t>
            </w:r>
          </w:p>
        </w:tc>
        <w:tc>
          <w:tcPr/>
          <w:p>
            <w:pPr>
              <w:pStyle w:val="Compact"/>
            </w:pPr>
            <w:r>
              <w:t xml:space="preserve">12,000-18,000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L3 Senior</w:t>
            </w:r>
          </w:p>
        </w:tc>
        <w:tc>
          <w:tcPr/>
          <w:p>
            <w:pPr>
              <w:pStyle w:val="Compact"/>
            </w:pPr>
            <w:r>
              <w:t xml:space="preserve">28,000-42,000</w:t>
            </w:r>
          </w:p>
        </w:tc>
        <w:tc>
          <w:tcPr/>
          <w:p>
            <w:pPr>
              <w:pStyle w:val="Compact"/>
            </w:pPr>
            <w:r>
              <w:t xml:space="preserve">22,000-32,000</w:t>
            </w:r>
          </w:p>
        </w:tc>
        <w:tc>
          <w:tcPr/>
          <w:p>
            <w:pPr>
              <w:pStyle w:val="Compact"/>
            </w:pPr>
            <w:r>
              <w:t xml:space="preserve">18,000-25,000</w:t>
            </w:r>
          </w:p>
        </w:tc>
        <w:tc>
          <w:tcPr/>
          <w:p>
            <w:pPr>
              <w:pStyle w:val="Compact"/>
            </w:pPr>
            <w:r>
              <w:t xml:space="preserve">18,000-25,000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L4 Lead</w:t>
            </w:r>
          </w:p>
        </w:tc>
        <w:tc>
          <w:tcPr/>
          <w:p>
            <w:pPr>
              <w:pStyle w:val="Compact"/>
            </w:pPr>
            <w:r>
              <w:t xml:space="preserve">42,000-55,000</w:t>
            </w:r>
          </w:p>
        </w:tc>
        <w:tc>
          <w:tcPr/>
          <w:p>
            <w:pPr>
              <w:pStyle w:val="Compact"/>
            </w:pPr>
            <w:r>
              <w:t xml:space="preserve">32,000-42,000</w:t>
            </w:r>
          </w:p>
        </w:tc>
        <w:tc>
          <w:tcPr/>
          <w:p>
            <w:pPr>
              <w:pStyle w:val="Compact"/>
            </w:pPr>
            <w:r>
              <w:t xml:space="preserve">25,000-35,000</w:t>
            </w:r>
          </w:p>
        </w:tc>
        <w:tc>
          <w:tcPr/>
          <w:p>
            <w:pPr>
              <w:pStyle w:val="Compact"/>
            </w:pPr>
            <w:r>
              <w:t xml:space="preserve">25,000-35,000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L5 VP</w:t>
            </w:r>
          </w:p>
        </w:tc>
        <w:tc>
          <w:tcPr/>
          <w:p>
            <w:pPr>
              <w:pStyle w:val="Compact"/>
            </w:pPr>
            <w:r>
              <w:t xml:space="preserve">55,000-80,000</w:t>
            </w:r>
          </w:p>
        </w:tc>
        <w:tc>
          <w:tcPr/>
          <w:p>
            <w:pPr>
              <w:pStyle w:val="Compact"/>
            </w:pPr>
            <w:r>
              <w:t xml:space="preserve">42,000-60,000</w:t>
            </w:r>
          </w:p>
        </w:tc>
        <w:tc>
          <w:tcPr/>
          <w:p>
            <w:pPr>
              <w:pStyle w:val="Compact"/>
            </w:pPr>
            <w:r>
              <w:t xml:space="preserve">35,000-50,000</w:t>
            </w:r>
          </w:p>
        </w:tc>
        <w:tc>
          <w:tcPr/>
          <w:p>
            <w:pPr>
              <w:pStyle w:val="Compact"/>
            </w:pPr>
            <w:r>
              <w:t xml:space="preserve">35,000-50,000</w:t>
            </w:r>
          </w:p>
        </w:tc>
      </w:tr>
    </w:tbl>
    <w:p>
      <w:pPr>
        <w:pStyle w:val="Heading2"/>
      </w:pPr>
      <w:bookmarkStart w:id="9" w:name="_equity"/>
      <w:r>
        <w:t xml:space="preserve">Equity</w:t>
      </w:r>
    </w:p>
    <w:p>
      <w:pPr>
        <w:pStyle w:val="FirstParagraph"/>
      </w:pPr>
      <w:r>
        <w:t xml:space="preserve">L1: 0.05-0.1% | L2: 0.1-0.25% | L3: 0.25-0.5% | L4: 0.5-1% | L5: 1-2%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HR &amp; Team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Compensation Bands</dc:title>
  <dc:creator>HISN Platform</dc:creator>
  <cp:keywords>HISN, FCDOS, financial crime, decision operating system</cp:keywords>
  <dcterms:created xsi:type="dcterms:W3CDTF">2026-10-14T06:28:29Z</dcterms:created>
  <dcterms:modified xsi:type="dcterms:W3CDTF">2026-10-14T06:28:29Z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