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02_Service_Delivery_Model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caaea3b714181969b84be90329733cc0201502d"/>
      <w:r>
        <w:t xml:space="preserve">SERVICE DELIVERY MODEL</w:t>
      </w:r>
    </w:p>
    <w:p>
      <w:pPr>
        <w:pStyle w:val="Heading2"/>
      </w:pPr>
      <w:bookmarkStart w:id="10" w:name="_overview"/>
      <w:r>
        <w:t xml:space="preserve">1. Overview</w:t>
      </w:r>
    </w:p>
    <w:p>
      <w:pPr>
        <w:pStyle w:val="FirstParagraph"/>
      </w:pPr>
      <w:r>
        <w:t xml:space="preserve">HISN delivers its FCDOS through a structured service delivery framework with five phases.</w:t>
      </w:r>
    </w:p>
    <w:p>
      <w:pPr>
        <w:pStyle w:val="Heading2"/>
      </w:pPr>
      <w:bookmarkStart w:id="11" w:name="_f3fe41c4b99271a3b45f6cc8cf17587c1207dc2"/>
      <w:r>
        <w:t xml:space="preserve">2. Delivery Phases</w:t>
      </w:r>
    </w:p>
    <w:p>
      <w:pPr>
        <w:pStyle w:val="Heading3"/>
      </w:pPr>
      <w:bookmarkStart w:id="12" w:name="_0f54f76f67d16847177bc971544fab0c8978eec"/>
      <w:r>
        <w:t xml:space="preserve">Phase 1 — Discovery (2-4 weeks)</w:t>
      </w:r>
    </w:p>
    <w:p>
      <w:pPr>
        <w:pStyle w:val="Compact"/>
        <w:numPr>
          <w:ilvl w:val="0"/>
          <w:numId w:val="1001"/>
        </w:numPr>
      </w:pPr>
      <w:r>
        <w:t xml:space="preserve">Stakeholder mapping</w:t>
      </w:r>
    </w:p>
    <w:p>
      <w:pPr>
        <w:pStyle w:val="Compact"/>
        <w:numPr>
          <w:ilvl w:val="0"/>
          <w:numId w:val="1001"/>
        </w:numPr>
      </w:pPr>
      <w:r>
        <w:t xml:space="preserve">Use case definition</w:t>
      </w:r>
    </w:p>
    <w:p>
      <w:pPr>
        <w:pStyle w:val="Compact"/>
        <w:numPr>
          <w:ilvl w:val="0"/>
          <w:numId w:val="1001"/>
        </w:numPr>
      </w:pPr>
      <w:r>
        <w:t xml:space="preserve">Success criteria</w:t>
      </w:r>
    </w:p>
    <w:p>
      <w:pPr>
        <w:pStyle w:val="Compact"/>
        <w:numPr>
          <w:ilvl w:val="0"/>
          <w:numId w:val="1001"/>
        </w:numPr>
      </w:pPr>
      <w:r>
        <w:t xml:space="preserve">Integration inventory</w:t>
      </w:r>
    </w:p>
    <w:p>
      <w:pPr>
        <w:pStyle w:val="Compact"/>
        <w:numPr>
          <w:ilvl w:val="0"/>
          <w:numId w:val="1001"/>
        </w:numPr>
      </w:pPr>
      <w:r>
        <w:t xml:space="preserve">Security &amp; compliance requirements</w:t>
      </w:r>
    </w:p>
    <w:p>
      <w:pPr>
        <w:pStyle w:val="Heading3"/>
      </w:pPr>
      <w:bookmarkStart w:id="13" w:name="_7eeccfa59b29d1b3d7bb4e7864ac607711a5241"/>
      <w:r>
        <w:t xml:space="preserve">Phase 2 — Design (2-4 weeks)</w:t>
      </w:r>
    </w:p>
    <w:p>
      <w:pPr>
        <w:pStyle w:val="Compact"/>
        <w:numPr>
          <w:ilvl w:val="0"/>
          <w:numId w:val="1002"/>
        </w:numPr>
      </w:pPr>
      <w:r>
        <w:t xml:space="preserve">Solution architecture</w:t>
      </w:r>
    </w:p>
    <w:p>
      <w:pPr>
        <w:pStyle w:val="Compact"/>
        <w:numPr>
          <w:ilvl w:val="0"/>
          <w:numId w:val="1002"/>
        </w:numPr>
      </w:pPr>
      <w:r>
        <w:t xml:space="preserve">Integration design</w:t>
      </w:r>
    </w:p>
    <w:p>
      <w:pPr>
        <w:pStyle w:val="Compact"/>
        <w:numPr>
          <w:ilvl w:val="0"/>
          <w:numId w:val="1002"/>
        </w:numPr>
      </w:pPr>
      <w:r>
        <w:t xml:space="preserve">Data mapping</w:t>
      </w:r>
    </w:p>
    <w:p>
      <w:pPr>
        <w:pStyle w:val="Compact"/>
        <w:numPr>
          <w:ilvl w:val="0"/>
          <w:numId w:val="1002"/>
        </w:numPr>
      </w:pPr>
      <w:r>
        <w:t xml:space="preserve">Configuration plan</w:t>
      </w:r>
    </w:p>
    <w:p>
      <w:pPr>
        <w:pStyle w:val="Compact"/>
        <w:numPr>
          <w:ilvl w:val="0"/>
          <w:numId w:val="1002"/>
        </w:numPr>
      </w:pPr>
      <w:r>
        <w:t xml:space="preserve">Acceptance criteria</w:t>
      </w:r>
    </w:p>
    <w:p>
      <w:pPr>
        <w:pStyle w:val="Heading3"/>
      </w:pPr>
      <w:bookmarkStart w:id="14" w:name="_9dc560d76f26202ea5f2c8fe5906717c8954d96"/>
      <w:r>
        <w:t xml:space="preserve">Phase 3 — Implementation (4-12 weeks)</w:t>
      </w:r>
    </w:p>
    <w:p>
      <w:pPr>
        <w:pStyle w:val="Compact"/>
        <w:numPr>
          <w:ilvl w:val="0"/>
          <w:numId w:val="1003"/>
        </w:numPr>
      </w:pPr>
      <w:r>
        <w:t xml:space="preserve">Environment provisioning</w:t>
      </w:r>
    </w:p>
    <w:p>
      <w:pPr>
        <w:pStyle w:val="Compact"/>
        <w:numPr>
          <w:ilvl w:val="0"/>
          <w:numId w:val="1003"/>
        </w:numPr>
      </w:pPr>
      <w:r>
        <w:t xml:space="preserve">Configuration</w:t>
      </w:r>
    </w:p>
    <w:p>
      <w:pPr>
        <w:pStyle w:val="Compact"/>
        <w:numPr>
          <w:ilvl w:val="0"/>
          <w:numId w:val="1003"/>
        </w:numPr>
      </w:pPr>
      <w:r>
        <w:t xml:space="preserve">Integration build</w:t>
      </w:r>
    </w:p>
    <w:p>
      <w:pPr>
        <w:pStyle w:val="Compact"/>
        <w:numPr>
          <w:ilvl w:val="0"/>
          <w:numId w:val="1003"/>
        </w:numPr>
      </w:pPr>
      <w:r>
        <w:t xml:space="preserve">Data migration (if any)</w:t>
      </w:r>
    </w:p>
    <w:p>
      <w:pPr>
        <w:pStyle w:val="Compact"/>
        <w:numPr>
          <w:ilvl w:val="0"/>
          <w:numId w:val="1003"/>
        </w:numPr>
      </w:pPr>
      <w:r>
        <w:t xml:space="preserve">Unit + integration testing</w:t>
      </w:r>
    </w:p>
    <w:p>
      <w:pPr>
        <w:pStyle w:val="Heading3"/>
      </w:pPr>
      <w:bookmarkStart w:id="15" w:name="_183b8f9ed27d5255516d5513b811343c5b74e00"/>
      <w:r>
        <w:t xml:space="preserve">Phase 4 — Validation (2-4 weeks)</w:t>
      </w:r>
    </w:p>
    <w:p>
      <w:pPr>
        <w:pStyle w:val="Compact"/>
        <w:numPr>
          <w:ilvl w:val="0"/>
          <w:numId w:val="1004"/>
        </w:numPr>
      </w:pPr>
      <w:r>
        <w:t xml:space="preserve">UAT</w:t>
      </w:r>
    </w:p>
    <w:p>
      <w:pPr>
        <w:pStyle w:val="Compact"/>
        <w:numPr>
          <w:ilvl w:val="0"/>
          <w:numId w:val="1004"/>
        </w:numPr>
      </w:pPr>
      <w:r>
        <w:t xml:space="preserve">Performance testing</w:t>
      </w:r>
    </w:p>
    <w:p>
      <w:pPr>
        <w:pStyle w:val="Compact"/>
        <w:numPr>
          <w:ilvl w:val="0"/>
          <w:numId w:val="1004"/>
        </w:numPr>
      </w:pPr>
      <w:r>
        <w:t xml:space="preserve">Security validation</w:t>
      </w:r>
    </w:p>
    <w:p>
      <w:pPr>
        <w:pStyle w:val="Compact"/>
        <w:numPr>
          <w:ilvl w:val="0"/>
          <w:numId w:val="1004"/>
        </w:numPr>
      </w:pPr>
      <w:r>
        <w:t xml:space="preserve">User acceptance</w:t>
      </w:r>
    </w:p>
    <w:p>
      <w:pPr>
        <w:pStyle w:val="Compact"/>
        <w:numPr>
          <w:ilvl w:val="0"/>
          <w:numId w:val="1004"/>
        </w:numPr>
      </w:pPr>
      <w:r>
        <w:t xml:space="preserve">Go-live readiness</w:t>
      </w:r>
    </w:p>
    <w:p>
      <w:pPr>
        <w:pStyle w:val="Heading3"/>
      </w:pPr>
      <w:bookmarkStart w:id="16" w:name="_3d6ac1e8f0dd80f491629e3b2bea4f9f90fff5e"/>
      <w:r>
        <w:t xml:space="preserve">Phase 5 — Go-Live + Hypercare (2-4 weeks)</w:t>
      </w:r>
    </w:p>
    <w:p>
      <w:pPr>
        <w:pStyle w:val="Compact"/>
        <w:numPr>
          <w:ilvl w:val="0"/>
          <w:numId w:val="1005"/>
        </w:numPr>
      </w:pPr>
      <w:r>
        <w:t xml:space="preserve">Production cutover</w:t>
      </w:r>
    </w:p>
    <w:p>
      <w:pPr>
        <w:pStyle w:val="Compact"/>
        <w:numPr>
          <w:ilvl w:val="0"/>
          <w:numId w:val="1005"/>
        </w:numPr>
      </w:pPr>
      <w:r>
        <w:t xml:space="preserve">Hypercare support</w:t>
      </w:r>
    </w:p>
    <w:p>
      <w:pPr>
        <w:pStyle w:val="Compact"/>
        <w:numPr>
          <w:ilvl w:val="0"/>
          <w:numId w:val="1005"/>
        </w:numPr>
      </w:pPr>
      <w:r>
        <w:t xml:space="preserve">Post-go-live review</w:t>
      </w:r>
    </w:p>
    <w:p>
      <w:pPr>
        <w:pStyle w:val="Compact"/>
        <w:numPr>
          <w:ilvl w:val="0"/>
          <w:numId w:val="1005"/>
        </w:numPr>
      </w:pPr>
      <w:r>
        <w:t xml:space="preserve">Transition to steady state</w:t>
      </w:r>
    </w:p>
    <w:p>
      <w:pPr>
        <w:pStyle w:val="Heading2"/>
      </w:pPr>
      <w:bookmarkStart w:id="17" w:name="_0ef2490687947b32001117023e074ca6af84756"/>
      <w:r>
        <w:t xml:space="preserve">3. Delivery Team Structure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Responsibility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Engagement Manager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Overall delivery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Solution Architect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Technical design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 Engineer</w:t>
            </w:r>
          </w:p>
        </w:tc>
        <w:tc>
          <w:tcPr/>
          <w:p>
            <w:pPr>
              <w:pStyle w:val="Compact"/>
            </w:pPr>
            <w:r>
              <w:t xml:space="preserve">1-2</w:t>
            </w:r>
          </w:p>
        </w:tc>
        <w:tc>
          <w:tcPr/>
          <w:p>
            <w:pPr>
              <w:pStyle w:val="Compact"/>
            </w:pPr>
            <w:r>
              <w:t xml:space="preserve">Configuration,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Engineer</w:t>
            </w:r>
          </w:p>
        </w:tc>
        <w:tc>
          <w:tcPr/>
          <w:p>
            <w:pPr>
              <w:pStyle w:val="Compact"/>
            </w:pPr>
            <w:r>
              <w:t xml:space="preserve">0-1</w:t>
            </w:r>
          </w:p>
        </w:tc>
        <w:tc>
          <w:tcPr/>
          <w:p>
            <w:pPr>
              <w:pStyle w:val="Compact"/>
            </w:pPr>
            <w:r>
              <w:t xml:space="preserve">Data migration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QA Engineer</w:t>
            </w:r>
          </w:p>
        </w:tc>
        <w:tc>
          <w:tcPr/>
          <w:p>
            <w:pPr>
              <w:pStyle w:val="Compact"/>
            </w:pPr>
            <w:r>
              <w:t xml:space="preserve">0-1</w:t>
            </w:r>
          </w:p>
        </w:tc>
        <w:tc>
          <w:tcPr/>
          <w:p>
            <w:pPr>
              <w:pStyle w:val="Compact"/>
            </w:pPr>
            <w:r>
              <w:t xml:space="preserve">Testing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Analyst</w:t>
            </w:r>
          </w:p>
        </w:tc>
        <w:tc>
          <w:tcPr/>
          <w:p>
            <w:pPr>
              <w:pStyle w:val="Compact"/>
            </w:pPr>
            <w:r>
              <w:t xml:space="preserve">0-1</w:t>
            </w:r>
          </w:p>
        </w:tc>
        <w:tc>
          <w:tcPr/>
          <w:p>
            <w:pPr>
              <w:pStyle w:val="Compact"/>
            </w:pPr>
            <w:r>
              <w:t xml:space="preserve">Security validation</w:t>
            </w:r>
          </w:p>
        </w:tc>
      </w:tr>
    </w:tbl>
    <w:p>
      <w:pPr>
        <w:pStyle w:val="Heading2"/>
      </w:pPr>
      <w:bookmarkStart w:id="18" w:name="_0ea340be9b49962e9c94dddfdfd031f1be8b52d"/>
      <w:r>
        <w:t xml:space="preserve">4. Implementation Timeline (Typical)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Milestone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1-2</w:t>
            </w:r>
          </w:p>
        </w:tc>
        <w:tc>
          <w:tcPr/>
          <w:p>
            <w:pPr>
              <w:pStyle w:val="Compact"/>
            </w:pPr>
            <w:r>
              <w:t xml:space="preserve">Discovery</w:t>
            </w:r>
          </w:p>
        </w:tc>
        <w:tc>
          <w:tcPr/>
          <w:p>
            <w:pPr>
              <w:pStyle w:val="Compact"/>
            </w:pPr>
            <w:r>
              <w:t xml:space="preserve">Kickoff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3-4</w:t>
            </w:r>
          </w:p>
        </w:tc>
        <w:tc>
          <w:tcPr/>
          <w:p>
            <w:pPr>
              <w:pStyle w:val="Compact"/>
            </w:pPr>
            <w:r>
              <w:t xml:space="preserve">Design</w:t>
            </w:r>
          </w:p>
        </w:tc>
        <w:tc>
          <w:tcPr/>
          <w:p>
            <w:pPr>
              <w:pStyle w:val="Compact"/>
            </w:pPr>
            <w:r>
              <w:t xml:space="preserve">Design sign-off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5-8</w:t>
            </w:r>
          </w:p>
        </w:tc>
        <w:tc>
          <w:tcPr/>
          <w:p>
            <w:pPr>
              <w:pStyle w:val="Compact"/>
            </w:pPr>
            <w:r>
              <w:t xml:space="preserve">Implementation</w:t>
            </w:r>
          </w:p>
        </w:tc>
        <w:tc>
          <w:tcPr/>
          <w:p>
            <w:pPr>
              <w:pStyle w:val="Compact"/>
            </w:pPr>
            <w:r>
              <w:t xml:space="preserve">Config 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9-10</w:t>
            </w:r>
          </w:p>
        </w:tc>
        <w:tc>
          <w:tcPr/>
          <w:p>
            <w:pPr>
              <w:pStyle w:val="Compact"/>
            </w:pPr>
            <w:r>
              <w:t xml:space="preserve">Integration</w:t>
            </w:r>
          </w:p>
        </w:tc>
        <w:tc>
          <w:tcPr/>
          <w:p>
            <w:pPr>
              <w:pStyle w:val="Compact"/>
            </w:pPr>
            <w:r>
              <w:t xml:space="preserve">Integration validated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11-12</w:t>
            </w:r>
          </w:p>
        </w:tc>
        <w:tc>
          <w:tcPr/>
          <w:p>
            <w:pPr>
              <w:pStyle w:val="Compact"/>
            </w:pPr>
            <w:r>
              <w:t xml:space="preserve">Testing</w:t>
            </w:r>
          </w:p>
        </w:tc>
        <w:tc>
          <w:tcPr/>
          <w:p>
            <w:pPr>
              <w:pStyle w:val="Compact"/>
            </w:pPr>
            <w:r>
              <w:t xml:space="preserve">UAT sign-off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13-14</w:t>
            </w:r>
          </w:p>
        </w:tc>
        <w:tc>
          <w:tcPr/>
          <w:p>
            <w:pPr>
              <w:pStyle w:val="Compact"/>
            </w:pPr>
            <w:r>
              <w:t xml:space="preserve">Go-Live</w:t>
            </w:r>
          </w:p>
        </w:tc>
        <w:tc>
          <w:tcPr/>
          <w:p>
            <w:pPr>
              <w:pStyle w:val="Compact"/>
            </w:pPr>
            <w:r>
              <w:t xml:space="preserve">Production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15-16</w:t>
            </w:r>
          </w:p>
        </w:tc>
        <w:tc>
          <w:tcPr/>
          <w:p>
            <w:pPr>
              <w:pStyle w:val="Compact"/>
            </w:pPr>
            <w:r>
              <w:t xml:space="preserve">Hypercare</w:t>
            </w:r>
          </w:p>
        </w:tc>
        <w:tc>
          <w:tcPr/>
          <w:p>
            <w:pPr>
              <w:pStyle w:val="Compact"/>
            </w:pPr>
            <w:r>
              <w:t xml:space="preserve">Transition</w:t>
            </w:r>
          </w:p>
        </w:tc>
      </w:tr>
    </w:tbl>
    <w:p>
      <w:pPr>
        <w:pStyle w:val="Heading2"/>
      </w:pPr>
      <w:bookmarkStart w:id="19" w:name="_ad49af4bd9418fae900b17264391e93a03a62c2"/>
      <w:r>
        <w:t xml:space="preserve">5. Deliverable Checklist</w:t>
      </w:r>
    </w:p>
    <w:p>
      <w:pPr>
        <w:pStyle w:val="Compact"/>
        <w:numPr>
          <w:ilvl w:val="0"/>
          <w:numId w:val="1006"/>
        </w:numPr>
      </w:pPr>
      <w:r>
        <w:t xml:space="preserve">Project charter</w:t>
      </w:r>
    </w:p>
    <w:p>
      <w:pPr>
        <w:pStyle w:val="Compact"/>
        <w:numPr>
          <w:ilvl w:val="0"/>
          <w:numId w:val="1007"/>
        </w:numPr>
      </w:pPr>
      <w:r>
        <w:t xml:space="preserve">Solution design document</w:t>
      </w:r>
    </w:p>
    <w:p>
      <w:pPr>
        <w:pStyle w:val="Compact"/>
        <w:numPr>
          <w:ilvl w:val="0"/>
          <w:numId w:val="1008"/>
        </w:numPr>
      </w:pPr>
      <w:r>
        <w:t xml:space="preserve">Integration specification</w:t>
      </w:r>
    </w:p>
    <w:p>
      <w:pPr>
        <w:pStyle w:val="Compact"/>
        <w:numPr>
          <w:ilvl w:val="0"/>
          <w:numId w:val="1009"/>
        </w:numPr>
      </w:pPr>
      <w:r>
        <w:t xml:space="preserve">Data mapping document</w:t>
      </w:r>
    </w:p>
    <w:p>
      <w:pPr>
        <w:pStyle w:val="Compact"/>
        <w:numPr>
          <w:ilvl w:val="0"/>
          <w:numId w:val="1010"/>
        </w:numPr>
      </w:pPr>
      <w:r>
        <w:t xml:space="preserve">Configuration document</w:t>
      </w:r>
    </w:p>
    <w:p>
      <w:pPr>
        <w:pStyle w:val="Compact"/>
        <w:numPr>
          <w:ilvl w:val="0"/>
          <w:numId w:val="1011"/>
        </w:numPr>
      </w:pPr>
      <w:r>
        <w:t xml:space="preserve">Test plan + results</w:t>
      </w:r>
    </w:p>
    <w:p>
      <w:pPr>
        <w:pStyle w:val="Compact"/>
        <w:numPr>
          <w:ilvl w:val="0"/>
          <w:numId w:val="1012"/>
        </w:numPr>
      </w:pPr>
      <w:r>
        <w:t xml:space="preserve">UAT sign-off</w:t>
      </w:r>
    </w:p>
    <w:p>
      <w:pPr>
        <w:pStyle w:val="Compact"/>
        <w:numPr>
          <w:ilvl w:val="0"/>
          <w:numId w:val="1013"/>
        </w:numPr>
      </w:pPr>
      <w:r>
        <w:t xml:space="preserve">Go-live runbook</w:t>
      </w:r>
    </w:p>
    <w:p>
      <w:pPr>
        <w:pStyle w:val="Compact"/>
        <w:numPr>
          <w:ilvl w:val="0"/>
          <w:numId w:val="1014"/>
        </w:numPr>
      </w:pPr>
      <w:r>
        <w:t xml:space="preserve">Handover documentation</w:t>
      </w:r>
    </w:p>
    <w:p>
      <w:pPr>
        <w:pStyle w:val="Compact"/>
        <w:numPr>
          <w:ilvl w:val="0"/>
          <w:numId w:val="1015"/>
        </w:numPr>
      </w:pPr>
      <w:r>
        <w:t xml:space="preserve">Post-implementation review</w:t>
      </w:r>
    </w:p>
    <w:p>
      <w:pPr>
        <w:pStyle w:val="Heading2"/>
      </w:pPr>
      <w:bookmarkStart w:id="20" w:name="_f39a3a6085a87fef5aa563ac3807c896fe05cd3"/>
      <w:r>
        <w:t xml:space="preserve">6. Success Criteria (Typical)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 to first value</w:t>
            </w:r>
          </w:p>
        </w:tc>
        <w:tc>
          <w:tcPr/>
          <w:p>
            <w:pPr>
              <w:pStyle w:val="Compact"/>
            </w:pPr>
            <w:r>
              <w:t xml:space="preserve">&lt; 90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Integration success</w:t>
            </w:r>
          </w:p>
        </w:tc>
        <w:tc>
          <w:tcPr/>
          <w:p>
            <w:pPr>
              <w:pStyle w:val="Compact"/>
            </w:pPr>
            <w:r>
              <w:t xml:space="preserve">100% test cases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adoption</w:t>
            </w:r>
          </w:p>
        </w:tc>
        <w:tc>
          <w:tcPr/>
          <w:p>
            <w:pPr>
              <w:pStyle w:val="Compact"/>
            </w:pPr>
            <w:r>
              <w:t xml:space="preserve">&gt; 80% of licenced users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quality</w:t>
            </w:r>
          </w:p>
        </w:tc>
        <w:tc>
          <w:tcPr/>
          <w:p>
            <w:pPr>
              <w:pStyle w:val="Compact"/>
            </w:pPr>
            <w:r>
              <w:t xml:space="preserve">&gt; 99% accuracy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sign-off</w:t>
            </w:r>
          </w:p>
        </w:tc>
        <w:tc>
          <w:tcPr/>
          <w:p>
            <w:pPr>
              <w:pStyle w:val="Compact"/>
            </w:pPr>
            <w:r>
              <w:t xml:space="preserve">Zero critical findings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NPS</w:t>
            </w:r>
          </w:p>
        </w:tc>
        <w:tc>
          <w:tcPr/>
          <w:p>
            <w:pPr>
              <w:pStyle w:val="Compact"/>
            </w:pPr>
            <w:r>
              <w:t xml:space="preserve">&gt; 50</w:t>
            </w:r>
          </w:p>
        </w:tc>
      </w:tr>
    </w:tbl>
    <w:p>
      <w:pPr>
        <w:pStyle w:val="Heading2"/>
      </w:pPr>
      <w:bookmarkStart w:id="21" w:name="_babcb61d9d181109d3952862d65c63d22f32d8a"/>
      <w:r>
        <w:t xml:space="preserve">7. Delivery Governance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Meeting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Participants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Project Standup</w:t>
            </w:r>
          </w:p>
        </w:tc>
        <w:tc>
          <w:tcPr/>
          <w:p>
            <w:pPr>
              <w:pStyle w:val="Compact"/>
            </w:pPr>
            <w:r>
              <w:t xml:space="preserve">Daily</w:t>
            </w:r>
          </w:p>
        </w:tc>
        <w:tc>
          <w:tcPr/>
          <w:p>
            <w:pPr>
              <w:pStyle w:val="Compact"/>
            </w:pPr>
            <w:r>
              <w:t xml:space="preserve">Delivery team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Steering Committee</w:t>
            </w:r>
          </w:p>
        </w:tc>
        <w:tc>
          <w:tcPr/>
          <w:p>
            <w:pPr>
              <w:pStyle w:val="Compact"/>
            </w:pPr>
            <w:r>
              <w:t xml:space="preserve">Bi-weekly</w:t>
            </w:r>
          </w:p>
        </w:tc>
        <w:tc>
          <w:tcPr/>
          <w:p>
            <w:pPr>
              <w:pStyle w:val="Compact"/>
            </w:pPr>
            <w:r>
              <w:t xml:space="preserve">Sponsors + 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Executive Review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CEO + customer exec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Escalation</w:t>
            </w:r>
          </w:p>
        </w:tc>
        <w:tc>
          <w:tcPr/>
          <w:p>
            <w:pPr>
              <w:pStyle w:val="Compact"/>
            </w:pPr>
            <w:r>
              <w:t xml:space="preserve">Ad-hoc</w:t>
            </w:r>
          </w:p>
        </w:tc>
        <w:tc>
          <w:tcPr/>
          <w:p>
            <w:pPr>
              <w:pStyle w:val="Compact"/>
            </w:pPr>
            <w:r>
              <w:t xml:space="preserve">As required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Delivery timelines are indicative and depend on customer readiness, integration complexity, and procurement cycles.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Service Delivery Model</dc:title>
  <dc:creator>HISN Platform</dc:creator>
  <cp:keywords>HISN, FCDOS, financial crime, decision operating system</cp:keywords>
  <dcterms:created xsi:type="dcterms:W3CDTF">2026-10-14T09:28:19Z</dcterms:created>
  <dcterms:modified xsi:type="dcterms:W3CDTF">2026-10-14T09:28:19Z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