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06_Customer_Onboarding</w:t>
      </w:r>
    </w:p>
    <w:p>
      <w:pPr>
        <w:pStyle w:val="Author"/>
      </w:pPr>
      <w:r>
        <w:t xml:space="preserve">HISN Platform</w:t>
      </w:r>
    </w:p>
    <w:p>
      <w:pPr>
        <w:pStyle w:val="Heading1"/>
      </w:pPr>
      <w:bookmarkStart w:id="9" w:name="_fcf1dfc32897bb212cf44d038b15f73eec3cfe5"/>
      <w:r>
        <w:t xml:space="preserve">CUSTOMER ONBOARDING PLAYBOOK</w:t>
      </w:r>
    </w:p>
    <w:p>
      <w:pPr>
        <w:pStyle w:val="Heading2"/>
      </w:pPr>
      <w:bookmarkStart w:id="10" w:name="_objectives"/>
      <w:r>
        <w:t xml:space="preserve">1. Objectives</w:t>
      </w:r>
    </w:p>
    <w:p>
      <w:pPr>
        <w:pStyle w:val="Compact"/>
        <w:numPr>
          <w:ilvl w:val="0"/>
          <w:numId w:val="1001"/>
        </w:numPr>
      </w:pPr>
      <w:r>
        <w:t xml:space="preserve">Time to first value &lt; 90 days</w:t>
      </w:r>
    </w:p>
    <w:p>
      <w:pPr>
        <w:pStyle w:val="Compact"/>
        <w:numPr>
          <w:ilvl w:val="0"/>
          <w:numId w:val="1001"/>
        </w:numPr>
      </w:pPr>
      <w:r>
        <w:t xml:space="preserve">Smooth, predictable, repeatable</w:t>
      </w:r>
    </w:p>
    <w:p>
      <w:pPr>
        <w:pStyle w:val="Compact"/>
        <w:numPr>
          <w:ilvl w:val="0"/>
          <w:numId w:val="1001"/>
        </w:numPr>
      </w:pPr>
      <w:r>
        <w:t xml:space="preserve">Customer-ready at go-live</w:t>
      </w:r>
    </w:p>
    <w:p>
      <w:pPr>
        <w:pStyle w:val="Compact"/>
        <w:numPr>
          <w:ilvl w:val="0"/>
          <w:numId w:val="1001"/>
        </w:numPr>
      </w:pPr>
      <w:r>
        <w:t xml:space="preserve">Reference-ready at 6 months</w:t>
      </w:r>
    </w:p>
    <w:p>
      <w:pPr>
        <w:pStyle w:val="Heading2"/>
      </w:pPr>
      <w:bookmarkStart w:id="11" w:name="_adee632d1b68a44389365641625ec66bddd5e55"/>
      <w:r>
        <w:t xml:space="preserve">2. Onboarding Phases</w:t>
      </w:r>
    </w:p>
    <w:p>
      <w:pPr>
        <w:pStyle w:val="Heading3"/>
      </w:pPr>
      <w:bookmarkStart w:id="12" w:name="_7716d317c1b8ab060644c69c7d16c2ae4f51b40"/>
      <w:r>
        <w:t xml:space="preserve">Phase 1 — Kickoff (Week 1)</w:t>
      </w:r>
    </w:p>
    <w:p>
      <w:pPr>
        <w:pStyle w:val="Compact"/>
        <w:numPr>
          <w:ilvl w:val="0"/>
          <w:numId w:val="1002"/>
        </w:numPr>
      </w:pPr>
      <w:r>
        <w:t xml:space="preserve">Introductions</w:t>
      </w:r>
    </w:p>
    <w:p>
      <w:pPr>
        <w:pStyle w:val="Compact"/>
        <w:numPr>
          <w:ilvl w:val="0"/>
          <w:numId w:val="1002"/>
        </w:numPr>
      </w:pPr>
      <w:r>
        <w:t xml:space="preserve">Governance setup</w:t>
      </w:r>
    </w:p>
    <w:p>
      <w:pPr>
        <w:pStyle w:val="Compact"/>
        <w:numPr>
          <w:ilvl w:val="0"/>
          <w:numId w:val="1002"/>
        </w:numPr>
      </w:pPr>
      <w:r>
        <w:t xml:space="preserve">Project plan review</w:t>
      </w:r>
    </w:p>
    <w:p>
      <w:pPr>
        <w:pStyle w:val="Compact"/>
        <w:numPr>
          <w:ilvl w:val="0"/>
          <w:numId w:val="1002"/>
        </w:numPr>
      </w:pPr>
      <w:r>
        <w:t xml:space="preserve">Success criteria confirmation</w:t>
      </w:r>
    </w:p>
    <w:p>
      <w:pPr>
        <w:pStyle w:val="Compact"/>
        <w:numPr>
          <w:ilvl w:val="0"/>
          <w:numId w:val="1002"/>
        </w:numPr>
      </w:pPr>
      <w:r>
        <w:t xml:space="preserve">Communication channels</w:t>
      </w:r>
    </w:p>
    <w:p>
      <w:pPr>
        <w:pStyle w:val="Heading3"/>
      </w:pPr>
      <w:bookmarkStart w:id="13" w:name="_872ed75b0c738c541125724cd97fcd881f5a4da"/>
      <w:r>
        <w:t xml:space="preserve">Phase 2 — Discovery (Weeks 2-3)</w:t>
      </w:r>
    </w:p>
    <w:p>
      <w:pPr>
        <w:pStyle w:val="Compact"/>
        <w:numPr>
          <w:ilvl w:val="0"/>
          <w:numId w:val="1003"/>
        </w:numPr>
      </w:pPr>
      <w:r>
        <w:t xml:space="preserve">Business requirements</w:t>
      </w:r>
    </w:p>
    <w:p>
      <w:pPr>
        <w:pStyle w:val="Compact"/>
        <w:numPr>
          <w:ilvl w:val="0"/>
          <w:numId w:val="1003"/>
        </w:numPr>
      </w:pPr>
      <w:r>
        <w:t xml:space="preserve">Technical requirements</w:t>
      </w:r>
    </w:p>
    <w:p>
      <w:pPr>
        <w:pStyle w:val="Compact"/>
        <w:numPr>
          <w:ilvl w:val="0"/>
          <w:numId w:val="1003"/>
        </w:numPr>
      </w:pPr>
      <w:r>
        <w:t xml:space="preserve">Integration inventory</w:t>
      </w:r>
    </w:p>
    <w:p>
      <w:pPr>
        <w:pStyle w:val="Compact"/>
        <w:numPr>
          <w:ilvl w:val="0"/>
          <w:numId w:val="1003"/>
        </w:numPr>
      </w:pPr>
      <w:r>
        <w:t xml:space="preserve">Security requirements</w:t>
      </w:r>
    </w:p>
    <w:p>
      <w:pPr>
        <w:pStyle w:val="Compact"/>
        <w:numPr>
          <w:ilvl w:val="0"/>
          <w:numId w:val="1003"/>
        </w:numPr>
      </w:pPr>
      <w:r>
        <w:t xml:space="preserve">Data mapping</w:t>
      </w:r>
    </w:p>
    <w:p>
      <w:pPr>
        <w:pStyle w:val="Heading3"/>
      </w:pPr>
      <w:bookmarkStart w:id="14" w:name="_d300572ad2b3e0920f75a43fa698ec24c7f9527"/>
      <w:r>
        <w:t xml:space="preserve">Phase 3 — Configuration (Weeks 4-6)</w:t>
      </w:r>
    </w:p>
    <w:p>
      <w:pPr>
        <w:pStyle w:val="Compact"/>
        <w:numPr>
          <w:ilvl w:val="0"/>
          <w:numId w:val="1004"/>
        </w:numPr>
      </w:pPr>
      <w:r>
        <w:t xml:space="preserve">Environment setup</w:t>
      </w:r>
    </w:p>
    <w:p>
      <w:pPr>
        <w:pStyle w:val="Compact"/>
        <w:numPr>
          <w:ilvl w:val="0"/>
          <w:numId w:val="1004"/>
        </w:numPr>
      </w:pPr>
      <w:r>
        <w:t xml:space="preserve">Tenant configuration</w:t>
      </w:r>
    </w:p>
    <w:p>
      <w:pPr>
        <w:pStyle w:val="Compact"/>
        <w:numPr>
          <w:ilvl w:val="0"/>
          <w:numId w:val="1004"/>
        </w:numPr>
      </w:pPr>
      <w:r>
        <w:t xml:space="preserve">Module activation</w:t>
      </w:r>
    </w:p>
    <w:p>
      <w:pPr>
        <w:pStyle w:val="Compact"/>
        <w:numPr>
          <w:ilvl w:val="0"/>
          <w:numId w:val="1004"/>
        </w:numPr>
      </w:pPr>
      <w:r>
        <w:t xml:space="preserve">User provisioning</w:t>
      </w:r>
    </w:p>
    <w:p>
      <w:pPr>
        <w:pStyle w:val="Compact"/>
        <w:numPr>
          <w:ilvl w:val="0"/>
          <w:numId w:val="1004"/>
        </w:numPr>
      </w:pPr>
      <w:r>
        <w:t xml:space="preserve">Role assignment</w:t>
      </w:r>
    </w:p>
    <w:p>
      <w:pPr>
        <w:pStyle w:val="Heading3"/>
      </w:pPr>
      <w:bookmarkStart w:id="15" w:name="_dbe5ae5b1d8c0fa9eacfecf1b79ad9c228de11c"/>
      <w:r>
        <w:t xml:space="preserve">Phase 4 — Integration (Weeks 7-9)</w:t>
      </w:r>
    </w:p>
    <w:p>
      <w:pPr>
        <w:pStyle w:val="Compact"/>
        <w:numPr>
          <w:ilvl w:val="0"/>
          <w:numId w:val="1005"/>
        </w:numPr>
      </w:pPr>
      <w:r>
        <w:t xml:space="preserve">API integration</w:t>
      </w:r>
    </w:p>
    <w:p>
      <w:pPr>
        <w:pStyle w:val="Compact"/>
        <w:numPr>
          <w:ilvl w:val="0"/>
          <w:numId w:val="1005"/>
        </w:numPr>
      </w:pPr>
      <w:r>
        <w:t xml:space="preserve">Data flow setup</w:t>
      </w:r>
    </w:p>
    <w:p>
      <w:pPr>
        <w:pStyle w:val="Compact"/>
        <w:numPr>
          <w:ilvl w:val="0"/>
          <w:numId w:val="1005"/>
        </w:numPr>
      </w:pPr>
      <w:r>
        <w:t xml:space="preserve">Webhook configuration</w:t>
      </w:r>
    </w:p>
    <w:p>
      <w:pPr>
        <w:pStyle w:val="Compact"/>
        <w:numPr>
          <w:ilvl w:val="0"/>
          <w:numId w:val="1005"/>
        </w:numPr>
      </w:pPr>
      <w:r>
        <w:t xml:space="preserve">Error handling</w:t>
      </w:r>
    </w:p>
    <w:p>
      <w:pPr>
        <w:pStyle w:val="Compact"/>
        <w:numPr>
          <w:ilvl w:val="0"/>
          <w:numId w:val="1005"/>
        </w:numPr>
      </w:pPr>
      <w:r>
        <w:t xml:space="preserve">Testing</w:t>
      </w:r>
    </w:p>
    <w:p>
      <w:pPr>
        <w:pStyle w:val="Heading3"/>
      </w:pPr>
      <w:bookmarkStart w:id="16" w:name="_c26eb3bc45ac566b67a5db77d765dbdaad643b3"/>
      <w:r>
        <w:t xml:space="preserve">Phase 5 — Validation (Weeks 10-11)</w:t>
      </w:r>
    </w:p>
    <w:p>
      <w:pPr>
        <w:pStyle w:val="Compact"/>
        <w:numPr>
          <w:ilvl w:val="0"/>
          <w:numId w:val="1006"/>
        </w:numPr>
      </w:pPr>
      <w:r>
        <w:t xml:space="preserve">UAT</w:t>
      </w:r>
    </w:p>
    <w:p>
      <w:pPr>
        <w:pStyle w:val="Compact"/>
        <w:numPr>
          <w:ilvl w:val="0"/>
          <w:numId w:val="1006"/>
        </w:numPr>
      </w:pPr>
      <w:r>
        <w:t xml:space="preserve">Performance testing</w:t>
      </w:r>
    </w:p>
    <w:p>
      <w:pPr>
        <w:pStyle w:val="Compact"/>
        <w:numPr>
          <w:ilvl w:val="0"/>
          <w:numId w:val="1006"/>
        </w:numPr>
      </w:pPr>
      <w:r>
        <w:t xml:space="preserve">Security validation</w:t>
      </w:r>
    </w:p>
    <w:p>
      <w:pPr>
        <w:pStyle w:val="Compact"/>
        <w:numPr>
          <w:ilvl w:val="0"/>
          <w:numId w:val="1006"/>
        </w:numPr>
      </w:pPr>
      <w:r>
        <w:t xml:space="preserve">User training</w:t>
      </w:r>
    </w:p>
    <w:p>
      <w:pPr>
        <w:pStyle w:val="Compact"/>
        <w:numPr>
          <w:ilvl w:val="0"/>
          <w:numId w:val="1006"/>
        </w:numPr>
      </w:pPr>
      <w:r>
        <w:t xml:space="preserve">Acceptance sign-off</w:t>
      </w:r>
    </w:p>
    <w:p>
      <w:pPr>
        <w:pStyle w:val="Heading3"/>
      </w:pPr>
      <w:bookmarkStart w:id="17" w:name="_224cf62d6becd83c4e41b89236cd0cbae8cfc21"/>
      <w:r>
        <w:t xml:space="preserve">Phase 6 — Go-Live (Week 12)</w:t>
      </w:r>
    </w:p>
    <w:p>
      <w:pPr>
        <w:pStyle w:val="Compact"/>
        <w:numPr>
          <w:ilvl w:val="0"/>
          <w:numId w:val="1007"/>
        </w:numPr>
      </w:pPr>
      <w:r>
        <w:t xml:space="preserve">Production cutover</w:t>
      </w:r>
    </w:p>
    <w:p>
      <w:pPr>
        <w:pStyle w:val="Compact"/>
        <w:numPr>
          <w:ilvl w:val="0"/>
          <w:numId w:val="1007"/>
        </w:numPr>
      </w:pPr>
      <w:r>
        <w:t xml:space="preserve">Hypercare start</w:t>
      </w:r>
    </w:p>
    <w:p>
      <w:pPr>
        <w:pStyle w:val="Compact"/>
        <w:numPr>
          <w:ilvl w:val="0"/>
          <w:numId w:val="1007"/>
        </w:numPr>
      </w:pPr>
      <w:r>
        <w:t xml:space="preserve">Monitoring</w:t>
      </w:r>
    </w:p>
    <w:p>
      <w:pPr>
        <w:pStyle w:val="Compact"/>
        <w:numPr>
          <w:ilvl w:val="0"/>
          <w:numId w:val="1007"/>
        </w:numPr>
      </w:pPr>
      <w:r>
        <w:t xml:space="preserve">Issue resolution</w:t>
      </w:r>
    </w:p>
    <w:p>
      <w:pPr>
        <w:pStyle w:val="Heading2"/>
      </w:pPr>
      <w:bookmarkStart w:id="18" w:name="_8b0a991ba78b6c8f6d4cbd9dad0035388161c59"/>
      <w:r>
        <w:t xml:space="preserve">3. Onboarding Team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Role</w:t>
            </w:r>
          </w:p>
        </w:tc>
        <w:tc>
          <w:tcPr/>
          <w:p>
            <w:pPr>
              <w:pStyle w:val="Compact"/>
            </w:pPr>
            <w:r>
              <w:t xml:space="preserve">Responsibility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Engagement Manager</w:t>
            </w:r>
          </w:p>
        </w:tc>
        <w:tc>
          <w:tcPr/>
          <w:p>
            <w:pPr>
              <w:pStyle w:val="Compact"/>
            </w:pPr>
            <w:r>
              <w:t xml:space="preserve">Overall delivery</w:t>
            </w:r>
          </w:p>
        </w:tc>
      </w:tr>
      <w:tr>
        <w:tc>
          <w:tcPr/>
          <w:p>
            <w:pPr>
              <w:pStyle w:val="Compact"/>
            </w:pPr>
            <w:r>
              <w:t xml:space="preserve">Solution Architect</w:t>
            </w:r>
          </w:p>
        </w:tc>
        <w:tc>
          <w:tcPr/>
          <w:p>
            <w:pPr>
              <w:pStyle w:val="Compact"/>
            </w:pPr>
            <w:r>
              <w:t xml:space="preserve">Technical design</w:t>
            </w:r>
          </w:p>
        </w:tc>
      </w:tr>
      <w:tr>
        <w:tc>
          <w:tcPr/>
          <w:p>
            <w:pPr>
              <w:pStyle w:val="Compact"/>
            </w:pPr>
            <w:r>
              <w:t xml:space="preserve">Implementation Engineer</w:t>
            </w:r>
          </w:p>
        </w:tc>
        <w:tc>
          <w:tcPr/>
          <w:p>
            <w:pPr>
              <w:pStyle w:val="Compact"/>
            </w:pPr>
            <w:r>
              <w:t xml:space="preserve">Configuration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Customer SME</w:t>
            </w:r>
          </w:p>
        </w:tc>
        <w:tc>
          <w:tcPr/>
          <w:p>
            <w:pPr>
              <w:pStyle w:val="Compact"/>
            </w:pPr>
            <w:r>
              <w:t xml:space="preserve">Domain expertise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Customer IT</w:t>
            </w:r>
          </w:p>
        </w:tc>
        <w:tc>
          <w:tcPr/>
          <w:p>
            <w:pPr>
              <w:pStyle w:val="Compact"/>
            </w:pPr>
            <w:r>
              <w:t xml:space="preserve">Integration + security</w:t>
            </w:r>
          </w:p>
        </w:tc>
      </w:tr>
      <w:tr>
        <w:tc>
          <w:tcPr/>
          <w:p>
            <w:pPr>
              <w:pStyle w:val="Compact"/>
            </w:pPr>
            <w:r>
              <w:t xml:space="preserve">HISN CSM</w:t>
            </w:r>
          </w:p>
        </w:tc>
        <w:tc>
          <w:tcPr/>
          <w:p>
            <w:pPr>
              <w:pStyle w:val="Compact"/>
            </w:pPr>
            <w:r>
              <w:t xml:space="preserve">Success planning</w:t>
            </w:r>
          </w:p>
        </w:tc>
      </w:tr>
    </w:tbl>
    <w:p>
      <w:pPr>
        <w:pStyle w:val="Heading2"/>
      </w:pPr>
      <w:bookmarkStart w:id="19" w:name="_bc233b774ceba9c01d6f523bf79ca0e4a3ae619"/>
      <w:r>
        <w:t xml:space="preserve">4. Onboarding Checklist</w:t>
      </w:r>
    </w:p>
    <w:p>
      <w:pPr>
        <w:pStyle w:val="Heading3"/>
      </w:pPr>
      <w:bookmarkStart w:id="20" w:name="_0c9154eaca8607f270cd3d3b9f4a830c368524a"/>
      <w:r>
        <w:t xml:space="preserve">Contract &amp; Legal</w:t>
      </w:r>
    </w:p>
    <w:p>
      <w:pPr>
        <w:pStyle w:val="Compact"/>
        <w:numPr>
          <w:ilvl w:val="0"/>
          <w:numId w:val="1008"/>
        </w:numPr>
      </w:pPr>
      <w:r>
        <w:t xml:space="preserve">MSA signed</w:t>
      </w:r>
    </w:p>
    <w:p>
      <w:pPr>
        <w:pStyle w:val="Compact"/>
        <w:numPr>
          <w:ilvl w:val="0"/>
          <w:numId w:val="1009"/>
        </w:numPr>
      </w:pPr>
      <w:r>
        <w:t xml:space="preserve">Order form signed</w:t>
      </w:r>
    </w:p>
    <w:p>
      <w:pPr>
        <w:pStyle w:val="Compact"/>
        <w:numPr>
          <w:ilvl w:val="0"/>
          <w:numId w:val="1010"/>
        </w:numPr>
      </w:pPr>
      <w:r>
        <w:t xml:space="preserve">DPA signed</w:t>
      </w:r>
    </w:p>
    <w:p>
      <w:pPr>
        <w:pStyle w:val="Compact"/>
        <w:numPr>
          <w:ilvl w:val="0"/>
          <w:numId w:val="1011"/>
        </w:numPr>
      </w:pPr>
      <w:r>
        <w:t xml:space="preserve">NDA (if required)</w:t>
      </w:r>
    </w:p>
    <w:p>
      <w:pPr>
        <w:pStyle w:val="Heading3"/>
      </w:pPr>
      <w:bookmarkStart w:id="21" w:name="_f94a724424bf79422aa24c63376689de88818df"/>
      <w:r>
        <w:t xml:space="preserve">Access &amp; Environment</w:t>
      </w:r>
    </w:p>
    <w:p>
      <w:pPr>
        <w:pStyle w:val="Compact"/>
        <w:numPr>
          <w:ilvl w:val="0"/>
          <w:numId w:val="1012"/>
        </w:numPr>
      </w:pPr>
      <w:r>
        <w:t xml:space="preserve">Tenant provisioned</w:t>
      </w:r>
    </w:p>
    <w:p>
      <w:pPr>
        <w:pStyle w:val="Compact"/>
        <w:numPr>
          <w:ilvl w:val="0"/>
          <w:numId w:val="1013"/>
        </w:numPr>
      </w:pPr>
      <w:r>
        <w:t xml:space="preserve">Admin users created</w:t>
      </w:r>
    </w:p>
    <w:p>
      <w:pPr>
        <w:pStyle w:val="Compact"/>
        <w:numPr>
          <w:ilvl w:val="0"/>
          <w:numId w:val="1014"/>
        </w:numPr>
      </w:pPr>
      <w:r>
        <w:t xml:space="preserve">SSO configured</w:t>
      </w:r>
    </w:p>
    <w:p>
      <w:pPr>
        <w:pStyle w:val="Compact"/>
        <w:numPr>
          <w:ilvl w:val="0"/>
          <w:numId w:val="1015"/>
        </w:numPr>
      </w:pPr>
      <w:r>
        <w:t xml:space="preserve">API keys issued</w:t>
      </w:r>
    </w:p>
    <w:p>
      <w:pPr>
        <w:pStyle w:val="Heading3"/>
      </w:pPr>
      <w:bookmarkStart w:id="22" w:name="_configuration"/>
      <w:r>
        <w:t xml:space="preserve">Configuration</w:t>
      </w:r>
    </w:p>
    <w:p>
      <w:pPr>
        <w:pStyle w:val="Compact"/>
        <w:numPr>
          <w:ilvl w:val="0"/>
          <w:numId w:val="1016"/>
        </w:numPr>
      </w:pPr>
      <w:r>
        <w:t xml:space="preserve">Rules configured</w:t>
      </w:r>
    </w:p>
    <w:p>
      <w:pPr>
        <w:pStyle w:val="Compact"/>
        <w:numPr>
          <w:ilvl w:val="0"/>
          <w:numId w:val="1017"/>
        </w:numPr>
      </w:pPr>
      <w:r>
        <w:t xml:space="preserve">Policies loaded</w:t>
      </w:r>
    </w:p>
    <w:p>
      <w:pPr>
        <w:pStyle w:val="Compact"/>
        <w:numPr>
          <w:ilvl w:val="0"/>
          <w:numId w:val="1018"/>
        </w:numPr>
      </w:pPr>
      <w:r>
        <w:t xml:space="preserve">Modules activated</w:t>
      </w:r>
    </w:p>
    <w:p>
      <w:pPr>
        <w:pStyle w:val="Compact"/>
        <w:numPr>
          <w:ilvl w:val="0"/>
          <w:numId w:val="1019"/>
        </w:numPr>
      </w:pPr>
      <w:r>
        <w:t xml:space="preserve">Data dictionaries mapped</w:t>
      </w:r>
    </w:p>
    <w:p>
      <w:pPr>
        <w:pStyle w:val="Heading3"/>
      </w:pPr>
      <w:bookmarkStart w:id="23" w:name="_integration"/>
      <w:r>
        <w:t xml:space="preserve">Integration</w:t>
      </w:r>
    </w:p>
    <w:p>
      <w:pPr>
        <w:pStyle w:val="Compact"/>
        <w:numPr>
          <w:ilvl w:val="0"/>
          <w:numId w:val="1020"/>
        </w:numPr>
      </w:pPr>
      <w:r>
        <w:t xml:space="preserve">Source systems connected</w:t>
      </w:r>
    </w:p>
    <w:p>
      <w:pPr>
        <w:pStyle w:val="Compact"/>
        <w:numPr>
          <w:ilvl w:val="0"/>
          <w:numId w:val="1021"/>
        </w:numPr>
      </w:pPr>
      <w:r>
        <w:t xml:space="preserve">Webhooks configured</w:t>
      </w:r>
    </w:p>
    <w:p>
      <w:pPr>
        <w:pStyle w:val="Compact"/>
        <w:numPr>
          <w:ilvl w:val="0"/>
          <w:numId w:val="1022"/>
        </w:numPr>
      </w:pPr>
      <w:r>
        <w:t xml:space="preserve">Error handling tested</w:t>
      </w:r>
    </w:p>
    <w:p>
      <w:pPr>
        <w:pStyle w:val="Compact"/>
        <w:numPr>
          <w:ilvl w:val="0"/>
          <w:numId w:val="1023"/>
        </w:numPr>
      </w:pPr>
      <w:r>
        <w:t xml:space="preserve">Load testing passed</w:t>
      </w:r>
    </w:p>
    <w:p>
      <w:pPr>
        <w:pStyle w:val="Heading3"/>
      </w:pPr>
      <w:bookmarkStart w:id="24" w:name="_validation"/>
      <w:r>
        <w:t xml:space="preserve">Validation</w:t>
      </w:r>
    </w:p>
    <w:p>
      <w:pPr>
        <w:pStyle w:val="Compact"/>
        <w:numPr>
          <w:ilvl w:val="0"/>
          <w:numId w:val="1024"/>
        </w:numPr>
      </w:pPr>
      <w:r>
        <w:t xml:space="preserve">Test cases executed</w:t>
      </w:r>
    </w:p>
    <w:p>
      <w:pPr>
        <w:pStyle w:val="Compact"/>
        <w:numPr>
          <w:ilvl w:val="0"/>
          <w:numId w:val="1025"/>
        </w:numPr>
      </w:pPr>
      <w:r>
        <w:t xml:space="preserve">UAT sign-off</w:t>
      </w:r>
    </w:p>
    <w:p>
      <w:pPr>
        <w:pStyle w:val="Compact"/>
        <w:numPr>
          <w:ilvl w:val="0"/>
          <w:numId w:val="1026"/>
        </w:numPr>
      </w:pPr>
      <w:r>
        <w:t xml:space="preserve">Security validation</w:t>
      </w:r>
    </w:p>
    <w:p>
      <w:pPr>
        <w:pStyle w:val="Compact"/>
        <w:numPr>
          <w:ilvl w:val="0"/>
          <w:numId w:val="1027"/>
        </w:numPr>
      </w:pPr>
      <w:r>
        <w:t xml:space="preserve">Performance baseline</w:t>
      </w:r>
    </w:p>
    <w:p>
      <w:pPr>
        <w:pStyle w:val="Heading3"/>
      </w:pPr>
      <w:bookmarkStart w:id="25" w:name="_0cc7984a64f6107e1eea8b339f0877a990be694"/>
      <w:r>
        <w:t xml:space="preserve">Go-Live</w:t>
      </w:r>
    </w:p>
    <w:p>
      <w:pPr>
        <w:pStyle w:val="Compact"/>
        <w:numPr>
          <w:ilvl w:val="0"/>
          <w:numId w:val="1028"/>
        </w:numPr>
      </w:pPr>
      <w:r>
        <w:t xml:space="preserve">Runbook reviewed</w:t>
      </w:r>
    </w:p>
    <w:p>
      <w:pPr>
        <w:pStyle w:val="Compact"/>
        <w:numPr>
          <w:ilvl w:val="0"/>
          <w:numId w:val="1029"/>
        </w:numPr>
      </w:pPr>
      <w:r>
        <w:t xml:space="preserve">Rollback plan approved</w:t>
      </w:r>
    </w:p>
    <w:p>
      <w:pPr>
        <w:pStyle w:val="Compact"/>
        <w:numPr>
          <w:ilvl w:val="0"/>
          <w:numId w:val="1030"/>
        </w:numPr>
      </w:pPr>
      <w:r>
        <w:t xml:space="preserve">Support channels active</w:t>
      </w:r>
    </w:p>
    <w:p>
      <w:pPr>
        <w:pStyle w:val="Compact"/>
        <w:numPr>
          <w:ilvl w:val="0"/>
          <w:numId w:val="1031"/>
        </w:numPr>
      </w:pPr>
      <w:r>
        <w:t xml:space="preserve">Communication sent</w:t>
      </w:r>
    </w:p>
    <w:p>
      <w:pPr>
        <w:pStyle w:val="Heading2"/>
      </w:pPr>
      <w:bookmarkStart w:id="26" w:name="_e424ff3ce978c6b3a311a4c16f749bfa9381e41"/>
      <w:r>
        <w:t xml:space="preserve">5. Success Metrics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Metric</w:t>
            </w:r>
          </w:p>
        </w:tc>
        <w:tc>
          <w:tcPr/>
          <w:p>
            <w:pPr>
              <w:pStyle w:val="Compact"/>
            </w:pPr>
            <w:r>
              <w:t xml:space="preserve">Target</w:t>
            </w:r>
          </w:p>
        </w:tc>
      </w:tr>
      <w:tr>
        <w:tc>
          <w:tcPr/>
          <w:p>
            <w:pPr>
              <w:pStyle w:val="Compact"/>
            </w:pPr>
            <w:r>
              <w:t xml:space="preserve">Time to first value</w:t>
            </w:r>
          </w:p>
        </w:tc>
        <w:tc>
          <w:tcPr/>
          <w:p>
            <w:pPr>
              <w:pStyle w:val="Compact"/>
            </w:pPr>
            <w:r>
              <w:t xml:space="preserve">&lt; 90 days</w:t>
            </w:r>
          </w:p>
        </w:tc>
      </w:tr>
      <w:tr>
        <w:tc>
          <w:tcPr/>
          <w:p>
            <w:pPr>
              <w:pStyle w:val="Compact"/>
            </w:pPr>
            <w:r>
              <w:t xml:space="preserve">Implementation NPS</w:t>
            </w:r>
          </w:p>
        </w:tc>
        <w:tc>
          <w:tcPr/>
          <w:p>
            <w:pPr>
              <w:pStyle w:val="Compact"/>
            </w:pPr>
            <w:r>
              <w:t xml:space="preserve">&gt; 50</w:t>
            </w:r>
          </w:p>
        </w:tc>
      </w:tr>
      <w:tr>
        <w:tc>
          <w:tcPr/>
          <w:p>
            <w:pPr>
              <w:pStyle w:val="Compact"/>
            </w:pPr>
            <w:r>
              <w:t xml:space="preserve">User adoption (30 days)</w:t>
            </w:r>
          </w:p>
        </w:tc>
        <w:tc>
          <w:tcPr/>
          <w:p>
            <w:pPr>
              <w:pStyle w:val="Compact"/>
            </w:pPr>
            <w:r>
              <w:t xml:space="preserve">&gt; 70%</w:t>
            </w:r>
          </w:p>
        </w:tc>
      </w:tr>
      <w:tr>
        <w:tc>
          <w:tcPr/>
          <w:p>
            <w:pPr>
              <w:pStyle w:val="Compact"/>
            </w:pPr>
            <w:r>
              <w:t xml:space="preserve">Support tickets (first 30 days)</w:t>
            </w:r>
          </w:p>
        </w:tc>
        <w:tc>
          <w:tcPr/>
          <w:p>
            <w:pPr>
              <w:pStyle w:val="Compact"/>
            </w:pPr>
            <w:r>
              <w:t xml:space="preserve">&lt; 20</w:t>
            </w:r>
          </w:p>
        </w:tc>
      </w:tr>
      <w:tr>
        <w:tc>
          <w:tcPr/>
          <w:p>
            <w:pPr>
              <w:pStyle w:val="Compact"/>
            </w:pPr>
            <w:r>
              <w:t xml:space="preserve">Customer health score</w:t>
            </w:r>
          </w:p>
        </w:tc>
        <w:tc>
          <w:tcPr/>
          <w:p>
            <w:pPr>
              <w:pStyle w:val="Compact"/>
            </w:pPr>
            <w:r>
              <w:t xml:space="preserve">&gt; 80</w:t>
            </w:r>
          </w:p>
        </w:tc>
      </w:tr>
    </w:tbl>
    <w:p>
      <w:pPr>
        <w:pStyle w:val="Heading2"/>
      </w:pPr>
      <w:bookmarkStart w:id="27" w:name="_42187fe53915c8f2b363f7833ffd53c0e0e2ca6"/>
      <w:r>
        <w:t xml:space="preserve">6. Common Risks &amp; Mitigations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Risk</w:t>
            </w:r>
          </w:p>
        </w:tc>
        <w:tc>
          <w:tcPr/>
          <w:p>
            <w:pPr>
              <w:pStyle w:val="Compact"/>
            </w:pPr>
            <w:r>
              <w:t xml:space="preserve">Mitigation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Slow customer decisions</w:t>
            </w:r>
          </w:p>
        </w:tc>
        <w:tc>
          <w:tcPr/>
          <w:p>
            <w:pPr>
              <w:pStyle w:val="Compact"/>
            </w:pPr>
            <w:r>
              <w:t xml:space="preserve">Weekly governance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Integration complexity</w:t>
            </w:r>
          </w:p>
        </w:tc>
        <w:tc>
          <w:tcPr/>
          <w:p>
            <w:pPr>
              <w:pStyle w:val="Compact"/>
            </w:pPr>
            <w:r>
              <w:t xml:space="preserve">Early technical review</w:t>
            </w:r>
          </w:p>
        </w:tc>
      </w:tr>
      <w:tr>
        <w:tc>
          <w:tcPr/>
          <w:p>
            <w:pPr>
              <w:pStyle w:val="Compact"/>
            </w:pPr>
            <w:r>
              <w:t xml:space="preserve">Scope creep</w:t>
            </w:r>
          </w:p>
        </w:tc>
        <w:tc>
          <w:tcPr/>
          <w:p>
            <w:pPr>
              <w:pStyle w:val="Compact"/>
            </w:pPr>
            <w:r>
              <w:t xml:space="preserve">Change control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Resource availability</w:t>
            </w:r>
          </w:p>
        </w:tc>
        <w:tc>
          <w:tcPr/>
          <w:p>
            <w:pPr>
              <w:pStyle w:val="Compact"/>
            </w:pPr>
            <w:r>
              <w:t xml:space="preserve">Backup team members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Security review delays</w:t>
            </w:r>
          </w:p>
        </w:tc>
        <w:tc>
          <w:tcPr/>
          <w:p>
            <w:pPr>
              <w:pStyle w:val="Compact"/>
            </w:pPr>
            <w:r>
              <w:t xml:space="preserve">Pre-emptive security pack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Onboarding playbook is version-controlled and updated per project learnings.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Operations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2">
    <w:nsid w:val="0000A992"/>
    <w:multiLevelType w:val="multilevel"/>
    <w:lvl w:ilvl="0">
      <w:numFmt w:val="bullet"/>
      <w:lvlText w:val="☐"/>
      <w:lvlJc w:val="left"/>
      <w:pPr>
        <w:ind w:left="720" w:hanging="360"/>
      </w:pPr>
    </w:lvl>
    <w:lvl w:ilvl="1">
      <w:numFmt w:val="bullet"/>
      <w:lvlText w:val="☐"/>
      <w:lvlJc w:val="left"/>
      <w:pPr>
        <w:ind w:left="1440" w:hanging="360"/>
      </w:pPr>
    </w:lvl>
    <w:lvl w:ilvl="2">
      <w:numFmt w:val="bullet"/>
      <w:lvlText w:val="☐"/>
      <w:lvlJc w:val="left"/>
      <w:pPr>
        <w:ind w:left="2160" w:hanging="360"/>
      </w:pPr>
    </w:lvl>
    <w:lvl w:ilvl="3">
      <w:numFmt w:val="bullet"/>
      <w:lvlText w:val="☐"/>
      <w:lvlJc w:val="left"/>
      <w:pPr>
        <w:ind w:left="2880" w:hanging="360"/>
      </w:pPr>
    </w:lvl>
    <w:lvl w:ilvl="4">
      <w:numFmt w:val="bullet"/>
      <w:lvlText w:val="☐"/>
      <w:lvlJc w:val="left"/>
      <w:pPr>
        <w:ind w:left="3600" w:hanging="360"/>
      </w:pPr>
    </w:lvl>
    <w:lvl w:ilvl="5">
      <w:numFmt w:val="bullet"/>
      <w:lvlText w:val="☐"/>
      <w:lvlJc w:val="left"/>
      <w:pPr>
        <w:ind w:left="4320" w:hanging="360"/>
      </w:pPr>
    </w:lvl>
    <w:lvl w:ilvl="6">
      <w:numFmt w:val="bullet"/>
      <w:lvlText w:val="☐"/>
      <w:lvlJc w:val="left"/>
      <w:pPr>
        <w:ind w:left="5040" w:hanging="360"/>
      </w:pPr>
    </w:lvl>
    <w:lvl w:ilvl="7">
      <w:numFmt w:val="bullet"/>
      <w:lvlText w:val="☐"/>
      <w:lvlJc w:val="left"/>
      <w:pPr>
        <w:ind w:left="5760" w:hanging="360"/>
      </w:pPr>
    </w:lvl>
    <w:lvl w:ilvl="8">
      <w:numFmt w:val="bullet"/>
      <w:lvlText w:val="☐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2"/>
  </w:num>
  <w:num w:numId="1009">
    <w:abstractNumId w:val="992"/>
  </w:num>
  <w:num w:numId="1010">
    <w:abstractNumId w:val="992"/>
  </w:num>
  <w:num w:numId="1011">
    <w:abstractNumId w:val="992"/>
  </w:num>
  <w:num w:numId="1012">
    <w:abstractNumId w:val="992"/>
  </w:num>
  <w:num w:numId="1013">
    <w:abstractNumId w:val="992"/>
  </w:num>
  <w:num w:numId="1014">
    <w:abstractNumId w:val="992"/>
  </w:num>
  <w:num w:numId="1015">
    <w:abstractNumId w:val="992"/>
  </w:num>
  <w:num w:numId="1016">
    <w:abstractNumId w:val="992"/>
  </w:num>
  <w:num w:numId="1017">
    <w:abstractNumId w:val="992"/>
  </w:num>
  <w:num w:numId="1018">
    <w:abstractNumId w:val="992"/>
  </w:num>
  <w:num w:numId="1019">
    <w:abstractNumId w:val="992"/>
  </w:num>
  <w:num w:numId="1020">
    <w:abstractNumId w:val="992"/>
  </w:num>
  <w:num w:numId="1021">
    <w:abstractNumId w:val="992"/>
  </w:num>
  <w:num w:numId="1022">
    <w:abstractNumId w:val="992"/>
  </w:num>
  <w:num w:numId="1023">
    <w:abstractNumId w:val="992"/>
  </w:num>
  <w:num w:numId="1024">
    <w:abstractNumId w:val="992"/>
  </w:num>
  <w:num w:numId="1025">
    <w:abstractNumId w:val="992"/>
  </w:num>
  <w:num w:numId="1026">
    <w:abstractNumId w:val="992"/>
  </w:num>
  <w:num w:numId="1027">
    <w:abstractNumId w:val="992"/>
  </w:num>
  <w:num w:numId="1028">
    <w:abstractNumId w:val="992"/>
  </w:num>
  <w:num w:numId="1029">
    <w:abstractNumId w:val="992"/>
  </w:num>
  <w:num w:numId="1030">
    <w:abstractNumId w:val="992"/>
  </w:num>
  <w:num w:numId="1031">
    <w:abstractNumId w:val="99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06 Customer Onboarding</dc:title>
  <dc:creator>HISN Platform</dc:creator>
  <cp:keywords>HISN, FCDOS, financial crime, decision operating system</cp:keywords>
  <dcterms:created xsi:type="dcterms:W3CDTF">2026-10-14T09:28:19Z</dcterms:created>
  <dcterms:modified xsi:type="dcterms:W3CDTF">2026-10-14T09:28:19Z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