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07_Support_Operations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12a8e6ab0d49370a510c9349d2081b83d758fcf"/>
      <w:r>
        <w:t xml:space="preserve">SUPPORT OPERATIONS</w:t>
      </w:r>
    </w:p>
    <w:p>
      <w:pPr>
        <w:pStyle w:val="Heading2"/>
      </w:pPr>
      <w:bookmarkStart w:id="10" w:name="_3018adfbea0fe43c0456dcb8b95be4111bd5b24"/>
      <w:r>
        <w:t xml:space="preserve">1. Support Model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Tier</w:t>
            </w:r>
          </w:p>
        </w:tc>
        <w:tc>
          <w:tcPr/>
          <w:p>
            <w:pPr>
              <w:pStyle w:val="Compact"/>
            </w:pPr>
            <w:r>
              <w:t xml:space="preserve">Function</w:t>
            </w:r>
          </w:p>
        </w:tc>
        <w:tc>
          <w:tcPr/>
          <w:p>
            <w:pPr>
              <w:pStyle w:val="Compact"/>
            </w:pPr>
            <w:r>
              <w:t xml:space="preserve">Escalation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L1</w:t>
            </w:r>
          </w:p>
        </w:tc>
        <w:tc>
          <w:tcPr/>
          <w:p>
            <w:pPr>
              <w:pStyle w:val="Compact"/>
            </w:pPr>
            <w:r>
              <w:t xml:space="preserve">First-line triage</w:t>
            </w:r>
          </w:p>
        </w:tc>
        <w:tc>
          <w:tcPr/>
          <w:p>
            <w:pPr>
              <w:pStyle w:val="Compact"/>
            </w:pPr>
            <w:r>
              <w:t xml:space="preserve">L2</w:t>
            </w:r>
          </w:p>
        </w:tc>
      </w:tr>
      <w:tr>
        <w:tc>
          <w:tcPr/>
          <w:p>
            <w:pPr>
              <w:pStyle w:val="Compact"/>
            </w:pPr>
            <w:r>
              <w:t xml:space="preserve">L2</w:t>
            </w:r>
          </w:p>
        </w:tc>
        <w:tc>
          <w:tcPr/>
          <w:p>
            <w:pPr>
              <w:pStyle w:val="Compact"/>
            </w:pPr>
            <w:r>
              <w:t xml:space="preserve">Technical diagnosis</w:t>
            </w:r>
          </w:p>
        </w:tc>
        <w:tc>
          <w:tcPr/>
          <w:p>
            <w:pPr>
              <w:pStyle w:val="Compact"/>
            </w:pPr>
            <w:r>
              <w:t xml:space="preserve">L3</w:t>
            </w:r>
          </w:p>
        </w:tc>
      </w:tr>
      <w:tr>
        <w:tc>
          <w:tcPr/>
          <w:p>
            <w:pPr>
              <w:pStyle w:val="Compact"/>
            </w:pPr>
            <w:r>
              <w:t xml:space="preserve">L3</w:t>
            </w:r>
          </w:p>
        </w:tc>
        <w:tc>
          <w:tcPr/>
          <w:p>
            <w:pPr>
              <w:pStyle w:val="Compact"/>
            </w:pPr>
            <w:r>
              <w:t xml:space="preserve">Engineering</w:t>
            </w:r>
          </w:p>
        </w:tc>
        <w:tc>
          <w:tcPr/>
          <w:p>
            <w:pPr>
              <w:pStyle w:val="Compact"/>
            </w:pPr>
            <w:r>
              <w:t xml:space="preserve">Engineering Lead</w:t>
            </w:r>
          </w:p>
        </w:tc>
      </w:tr>
      <w:tr>
        <w:tc>
          <w:tcPr/>
          <w:p>
            <w:pPr>
              <w:pStyle w:val="Compact"/>
            </w:pPr>
            <w:r>
              <w:t xml:space="preserve">L4</w:t>
            </w:r>
          </w:p>
        </w:tc>
        <w:tc>
          <w:tcPr/>
          <w:p>
            <w:pPr>
              <w:pStyle w:val="Compact"/>
            </w:pPr>
            <w:r>
              <w:t xml:space="preserve">Executive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</w:tr>
    </w:tbl>
    <w:p>
      <w:pPr>
        <w:pStyle w:val="Heading2"/>
      </w:pPr>
      <w:bookmarkStart w:id="11" w:name="_0af53223549b7bb462b0afaa65f4826dfe96e2d"/>
      <w:r>
        <w:t xml:space="preserve">2. Support Hours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Tier</w:t>
            </w:r>
          </w:p>
        </w:tc>
        <w:tc>
          <w:tcPr/>
          <w:p>
            <w:pPr>
              <w:pStyle w:val="Compact"/>
            </w:pPr>
            <w:r>
              <w:t xml:space="preserve">Standard</w:t>
            </w:r>
          </w:p>
        </w:tc>
        <w:tc>
          <w:tcPr/>
          <w:p>
            <w:pPr>
              <w:pStyle w:val="Compact"/>
            </w:pPr>
            <w:r>
              <w:t xml:space="preserve">Premium</w:t>
            </w:r>
          </w:p>
        </w:tc>
        <w:tc>
          <w:tcPr/>
          <w:p>
            <w:pPr>
              <w:pStyle w:val="Compact"/>
            </w:pPr>
            <w:r>
              <w:t xml:space="preserve">24/7</w:t>
            </w:r>
          </w:p>
        </w:tc>
      </w:tr>
      <w:tr>
        <w:tc>
          <w:tcPr/>
          <w:p>
            <w:pPr>
              <w:pStyle w:val="Compact"/>
            </w:pPr>
            <w:r>
              <w:t xml:space="preserve">Business hours (Sun-Thu 08:00-18:00 AST)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Extended (Sun-Thu 06:00-22:00)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24/7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</w:tbl>
    <w:p>
      <w:pPr>
        <w:pStyle w:val="Heading2"/>
      </w:pPr>
      <w:bookmarkStart w:id="12" w:name="_301c8fb4ef8349afe9ca61bec6a6ae41e7d0053"/>
      <w:r>
        <w:t xml:space="preserve">3. Ticket Lifecycle</w:t>
      </w:r>
    </w:p>
    <w:p>
      <w:pPr>
        <w:pStyle w:val="FirstParagraph"/>
      </w:pPr>
      <w:r>
        <w:t xml:space="preserve">New → Acknowledged → In Progress → Pending Customer</w:t>
      </w:r>
      <w:r>
        <w:t xml:space="preserve"> </w:t>
      </w:r>
      <w:r>
        <w:t xml:space="preserve">→ Resolved → Closed</w:t>
      </w:r>
    </w:p>
    <w:p>
      <w:pPr>
        <w:pStyle w:val="Heading2"/>
      </w:pPr>
      <w:bookmarkStart w:id="13" w:name="_fb9dc6b8d9c69cdf1b4820442b83088892bd96c"/>
      <w:r>
        <w:t xml:space="preserve">4. Prioritization Matrix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Impact ↓ / Urgency →</w:t>
            </w:r>
          </w:p>
        </w:tc>
        <w:tc>
          <w:tcPr/>
          <w:p>
            <w:pPr>
              <w:pStyle w:val="Compact"/>
            </w:pPr>
            <w:r>
              <w:t xml:space="preserve">Low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Critical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Critical</w:t>
            </w:r>
          </w:p>
        </w:tc>
        <w:tc>
          <w:tcPr/>
          <w:p>
            <w:pPr>
              <w:pStyle w:val="Compact"/>
            </w:pPr>
            <w:r>
              <w:t xml:space="preserve">P2</w:t>
            </w:r>
          </w:p>
        </w:tc>
        <w:tc>
          <w:tcPr/>
          <w:p>
            <w:pPr>
              <w:pStyle w:val="Compact"/>
            </w:pPr>
            <w:r>
              <w:t xml:space="preserve">P2</w:t>
            </w:r>
          </w:p>
        </w:tc>
        <w:tc>
          <w:tcPr/>
          <w:p>
            <w:pPr>
              <w:pStyle w:val="Compact"/>
            </w:pPr>
            <w:r>
              <w:t xml:space="preserve">P1</w:t>
            </w:r>
          </w:p>
        </w:tc>
        <w:tc>
          <w:tcPr/>
          <w:p>
            <w:pPr>
              <w:pStyle w:val="Compac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P3</w:t>
            </w:r>
          </w:p>
        </w:tc>
        <w:tc>
          <w:tcPr/>
          <w:p>
            <w:pPr>
              <w:pStyle w:val="Compact"/>
            </w:pPr>
            <w:r>
              <w:t xml:space="preserve">P2</w:t>
            </w:r>
          </w:p>
        </w:tc>
        <w:tc>
          <w:tcPr/>
          <w:p>
            <w:pPr>
              <w:pStyle w:val="Compact"/>
            </w:pPr>
            <w:r>
              <w:t xml:space="preserve">P2</w:t>
            </w:r>
          </w:p>
        </w:tc>
        <w:tc>
          <w:tcPr/>
          <w:p>
            <w:pPr>
              <w:pStyle w:val="Compac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Medium</w:t>
            </w:r>
          </w:p>
        </w:tc>
        <w:tc>
          <w:tcPr/>
          <w:p>
            <w:pPr>
              <w:pStyle w:val="Compact"/>
            </w:pPr>
            <w:r>
              <w:t xml:space="preserve">P4</w:t>
            </w:r>
          </w:p>
        </w:tc>
        <w:tc>
          <w:tcPr/>
          <w:p>
            <w:pPr>
              <w:pStyle w:val="Compact"/>
            </w:pPr>
            <w:r>
              <w:t xml:space="preserve">P3</w:t>
            </w:r>
          </w:p>
        </w:tc>
        <w:tc>
          <w:tcPr/>
          <w:p>
            <w:pPr>
              <w:pStyle w:val="Compact"/>
            </w:pPr>
            <w:r>
              <w:t xml:space="preserve">P3</w:t>
            </w:r>
          </w:p>
        </w:tc>
        <w:tc>
          <w:tcPr/>
          <w:p>
            <w:pPr>
              <w:pStyle w:val="Compact"/>
            </w:pPr>
            <w:r>
              <w:t xml:space="preserve">P2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Low</w:t>
            </w:r>
          </w:p>
        </w:tc>
        <w:tc>
          <w:tcPr/>
          <w:p>
            <w:pPr>
              <w:pStyle w:val="Compact"/>
            </w:pPr>
            <w:r>
              <w:t xml:space="preserve">P4</w:t>
            </w:r>
          </w:p>
        </w:tc>
        <w:tc>
          <w:tcPr/>
          <w:p>
            <w:pPr>
              <w:pStyle w:val="Compact"/>
            </w:pPr>
            <w:r>
              <w:t xml:space="preserve">P4</w:t>
            </w:r>
          </w:p>
        </w:tc>
        <w:tc>
          <w:tcPr/>
          <w:p>
            <w:pPr>
              <w:pStyle w:val="Compact"/>
            </w:pPr>
            <w:r>
              <w:t xml:space="preserve">P4</w:t>
            </w:r>
          </w:p>
        </w:tc>
        <w:tc>
          <w:tcPr/>
          <w:p>
            <w:pPr>
              <w:pStyle w:val="Compact"/>
            </w:pPr>
            <w:r>
              <w:t xml:space="preserve">P3</w:t>
            </w:r>
          </w:p>
        </w:tc>
      </w:tr>
    </w:tbl>
    <w:p>
      <w:pPr>
        <w:pStyle w:val="Heading2"/>
      </w:pPr>
      <w:bookmarkStart w:id="14" w:name="_e497fc166db41d657da643a5e38ed96561d107f"/>
      <w:r>
        <w:t xml:space="preserve">5. Escalation Matrix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Level</w:t>
            </w:r>
          </w:p>
        </w:tc>
        <w:tc>
          <w:tcPr/>
          <w:p>
            <w:pPr>
              <w:pStyle w:val="Compact"/>
            </w:pPr>
            <w:r>
              <w:t xml:space="preserve">Trigger</w:t>
            </w:r>
          </w:p>
        </w:tc>
        <w:tc>
          <w:tcPr/>
          <w:p>
            <w:pPr>
              <w:pStyle w:val="Compact"/>
            </w:pPr>
            <w:r>
              <w:t xml:space="preserve">Contact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L1 → L2</w:t>
            </w:r>
          </w:p>
        </w:tc>
        <w:tc>
          <w:tcPr/>
          <w:p>
            <w:pPr>
              <w:pStyle w:val="Compact"/>
            </w:pPr>
            <w:r>
              <w:t xml:space="preserve">2h unresolved</w:t>
            </w:r>
          </w:p>
        </w:tc>
        <w:tc>
          <w:tcPr/>
          <w:p>
            <w:pPr>
              <w:pStyle w:val="Compact"/>
            </w:pPr>
            <w:r>
              <w:t xml:space="preserve">Support Lead</w:t>
            </w:r>
          </w:p>
        </w:tc>
      </w:tr>
      <w:tr>
        <w:tc>
          <w:tcPr/>
          <w:p>
            <w:pPr>
              <w:pStyle w:val="Compact"/>
            </w:pPr>
            <w:r>
              <w:t xml:space="preserve">L2 → L3</w:t>
            </w:r>
          </w:p>
        </w:tc>
        <w:tc>
          <w:tcPr/>
          <w:p>
            <w:pPr>
              <w:pStyle w:val="Compact"/>
            </w:pPr>
            <w:r>
              <w:t xml:space="preserve">4h unresolved</w:t>
            </w:r>
          </w:p>
        </w:tc>
        <w:tc>
          <w:tcPr/>
          <w:p>
            <w:pPr>
              <w:pStyle w:val="Compact"/>
            </w:pPr>
            <w:r>
              <w:t xml:space="preserve">Engineering Lead</w:t>
            </w:r>
          </w:p>
        </w:tc>
      </w:tr>
      <w:tr>
        <w:tc>
          <w:tcPr/>
          <w:p>
            <w:pPr>
              <w:pStyle w:val="Compact"/>
            </w:pPr>
            <w:r>
              <w:t xml:space="preserve">L3 → L4</w:t>
            </w:r>
          </w:p>
        </w:tc>
        <w:tc>
          <w:tcPr/>
          <w:p>
            <w:pPr>
              <w:pStyle w:val="Compact"/>
            </w:pPr>
            <w:r>
              <w:t xml:space="preserve">8h unresolved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L4 → CEO</w:t>
            </w:r>
          </w:p>
        </w:tc>
        <w:tc>
          <w:tcPr/>
          <w:p>
            <w:pPr>
              <w:pStyle w:val="Compact"/>
            </w:pPr>
            <w:r>
              <w:t xml:space="preserve">Critical impact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</w:tbl>
    <w:p>
      <w:pPr>
        <w:pStyle w:val="Heading2"/>
      </w:pPr>
      <w:bookmarkStart w:id="15" w:name="_559ddd4036bcadc3eb3cc2857075a5747add5af"/>
      <w:r>
        <w:t xml:space="preserve">6. Support KPIs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Target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First response time (P1)</w:t>
            </w:r>
          </w:p>
        </w:tc>
        <w:tc>
          <w:tcPr/>
          <w:p>
            <w:pPr>
              <w:pStyle w:val="Compact"/>
            </w:pPr>
            <w:r>
              <w:t xml:space="preserve">&lt; 30min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First response time (P2)</w:t>
            </w:r>
          </w:p>
        </w:tc>
        <w:tc>
          <w:tcPr/>
          <w:p>
            <w:pPr>
              <w:pStyle w:val="Compact"/>
            </w:pPr>
            <w:r>
              <w:t xml:space="preserve">&lt; 4h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Resolution time (P1)</w:t>
            </w:r>
          </w:p>
        </w:tc>
        <w:tc>
          <w:tcPr/>
          <w:p>
            <w:pPr>
              <w:pStyle w:val="Compact"/>
            </w:pPr>
            <w:r>
              <w:t xml:space="preserve">&lt; 4h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Resolution time (P2)</w:t>
            </w:r>
          </w:p>
        </w:tc>
        <w:tc>
          <w:tcPr/>
          <w:p>
            <w:pPr>
              <w:pStyle w:val="Compact"/>
            </w:pPr>
            <w:r>
              <w:t xml:space="preserve">&lt; 3 days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First-contact resolution</w:t>
            </w:r>
          </w:p>
        </w:tc>
        <w:tc>
          <w:tcPr/>
          <w:p>
            <w:pPr>
              <w:pStyle w:val="Compact"/>
            </w:pPr>
            <w:r>
              <w:t xml:space="preserve">&gt; 60%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CSAT</w:t>
            </w:r>
          </w:p>
        </w:tc>
        <w:tc>
          <w:tcPr/>
          <w:p>
            <w:pPr>
              <w:pStyle w:val="Compact"/>
            </w:pPr>
            <w:r>
              <w:t xml:space="preserve">&gt; 4.5/5</w:t>
            </w:r>
          </w:p>
        </w:tc>
      </w:tr>
      <w:tr>
        <w:tc>
          <w:tcPr/>
          <w:p>
            <w:pPr>
              <w:pStyle w:val="Compact"/>
            </w:pPr>
            <w:r>
              <w:t xml:space="preserve">Ticket backlog</w:t>
            </w:r>
          </w:p>
        </w:tc>
        <w:tc>
          <w:tcPr/>
          <w:p>
            <w:pPr>
              <w:pStyle w:val="Compact"/>
            </w:pPr>
            <w:r>
              <w:t xml:space="preserve">&lt; 20</w:t>
            </w:r>
          </w:p>
        </w:tc>
      </w:tr>
      <w:tr>
        <w:tc>
          <w:tcPr/>
          <w:p>
            <w:pPr>
              <w:pStyle w:val="Compact"/>
            </w:pPr>
            <w:r>
              <w:t xml:space="preserve">Escalation rate</w:t>
            </w:r>
          </w:p>
        </w:tc>
        <w:tc>
          <w:tcPr/>
          <w:p>
            <w:pPr>
              <w:pStyle w:val="Compact"/>
            </w:pPr>
            <w:r>
              <w:t xml:space="preserve">&lt; 10%</w:t>
            </w:r>
          </w:p>
        </w:tc>
      </w:tr>
    </w:tbl>
    <w:p>
      <w:pPr>
        <w:pStyle w:val="Heading2"/>
      </w:pPr>
      <w:bookmarkStart w:id="16" w:name="_c96c8f1e38a8b9182f1b0fe45ce784be67f6cd6"/>
      <w:r>
        <w:t xml:space="preserve">7. Knowledge Management</w:t>
      </w:r>
    </w:p>
    <w:p>
      <w:pPr>
        <w:pStyle w:val="Compact"/>
        <w:numPr>
          <w:ilvl w:val="0"/>
          <w:numId w:val="1001"/>
        </w:numPr>
      </w:pPr>
      <w:r>
        <w:t xml:space="preserve">Knowledge base in customer portal</w:t>
      </w:r>
    </w:p>
    <w:p>
      <w:pPr>
        <w:pStyle w:val="Compact"/>
        <w:numPr>
          <w:ilvl w:val="0"/>
          <w:numId w:val="1001"/>
        </w:numPr>
      </w:pPr>
      <w:r>
        <w:t xml:space="preserve">Articles updated monthly</w:t>
      </w:r>
    </w:p>
    <w:p>
      <w:pPr>
        <w:pStyle w:val="Compact"/>
        <w:numPr>
          <w:ilvl w:val="0"/>
          <w:numId w:val="1001"/>
        </w:numPr>
      </w:pPr>
      <w:r>
        <w:t xml:space="preserve">Top 20 issues documented</w:t>
      </w:r>
    </w:p>
    <w:p>
      <w:pPr>
        <w:pStyle w:val="Compact"/>
        <w:numPr>
          <w:ilvl w:val="0"/>
          <w:numId w:val="1001"/>
        </w:numPr>
      </w:pPr>
      <w:r>
        <w:t xml:space="preserve">Self-service first strategy</w:t>
      </w:r>
    </w:p>
    <w:p>
      <w:pPr>
        <w:pStyle w:val="Heading2"/>
      </w:pPr>
      <w:bookmarkStart w:id="17" w:name="_85d06ffb6422836b4f2731b1fb10a07d1b2c624"/>
      <w:r>
        <w:t xml:space="preserve">8. Support Tools</w:t>
      </w:r>
    </w:p>
    <w:p>
      <w:pPr>
        <w:pStyle w:val="Compact"/>
        <w:numPr>
          <w:ilvl w:val="0"/>
          <w:numId w:val="1002"/>
        </w:numPr>
      </w:pPr>
      <w:r>
        <w:t xml:space="preserve">Ticketing: Jira Service Management</w:t>
      </w:r>
    </w:p>
    <w:p>
      <w:pPr>
        <w:pStyle w:val="Compact"/>
        <w:numPr>
          <w:ilvl w:val="0"/>
          <w:numId w:val="1002"/>
        </w:numPr>
      </w:pPr>
      <w:r>
        <w:t xml:space="preserve">Chat: Slack Connect</w:t>
      </w:r>
    </w:p>
    <w:p>
      <w:pPr>
        <w:pStyle w:val="Compact"/>
        <w:numPr>
          <w:ilvl w:val="0"/>
          <w:numId w:val="1002"/>
        </w:numPr>
      </w:pPr>
      <w:r>
        <w:t xml:space="preserve">Status: Statuspage</w:t>
      </w:r>
    </w:p>
    <w:p>
      <w:pPr>
        <w:pStyle w:val="Compact"/>
        <w:numPr>
          <w:ilvl w:val="0"/>
          <w:numId w:val="1002"/>
        </w:numPr>
      </w:pPr>
      <w:r>
        <w:t xml:space="preserve">Monitoring: Datadog / Grafana</w:t>
      </w:r>
    </w:p>
    <w:p>
      <w:pPr>
        <w:pStyle w:val="Compact"/>
        <w:numPr>
          <w:ilvl w:val="0"/>
          <w:numId w:val="1002"/>
        </w:numPr>
      </w:pPr>
      <w:r>
        <w:t xml:space="preserve">KB: Confluence</w:t>
      </w:r>
    </w:p>
    <w:p>
      <w:pPr>
        <w:pStyle w:val="Heading2"/>
      </w:pPr>
      <w:bookmarkStart w:id="18" w:name="_reporting"/>
      <w:r>
        <w:t xml:space="preserve">9. Reporting</w:t>
      </w:r>
    </w:p>
    <w:p>
      <w:pPr>
        <w:pStyle w:val="FirstParagraph"/>
      </w:pPr>
      <w:r>
        <w:t xml:space="preserve">Weekly: ticket volume, SLA, escalations</w:t>
      </w:r>
      <w:r>
        <w:t xml:space="preserve"> </w:t>
      </w:r>
      <w:r>
        <w:t xml:space="preserve">Monthly: trends, top issues, CSAT</w:t>
      </w:r>
      <w:r>
        <w:t xml:space="preserve"> </w:t>
      </w:r>
      <w:r>
        <w:t xml:space="preserve">Quarterly: strategic review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Support operations aligned with ISO 20000 and ITIL practices.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Operations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 Support Operations</dc:title>
  <dc:creator>HISN Platform</dc:creator>
  <cp:keywords>HISN, FCDOS, financial crime, decision operating system</cp:keywords>
  <dcterms:created xsi:type="dcterms:W3CDTF">2026-10-14T09:28:19Z</dcterms:created>
  <dcterms:modified xsi:type="dcterms:W3CDTF">2026-10-14T09:28:19Z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