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08_Operational_Metrics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4c6848a6d73600a139ccfc72797c6b5482e72e3"/>
      <w:r>
        <w:t xml:space="preserve">OPERATIONAL METRICS DASHBOARD</w:t>
      </w:r>
    </w:p>
    <w:p>
      <w:pPr>
        <w:pStyle w:val="Heading2"/>
      </w:pPr>
      <w:bookmarkStart w:id="10" w:name="_1823ae3a09c5f9c9b55c1080f2405ea59879e88"/>
      <w:r>
        <w:t xml:space="preserve">1. Service Delivery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On-time delivery</w:t>
            </w:r>
          </w:p>
        </w:tc>
        <w:tc>
          <w:tcPr/>
          <w:p>
            <w:pPr>
              <w:pStyle w:val="Compact"/>
            </w:pPr>
            <w:r>
              <w:t xml:space="preserve">&gt; 90%</w:t>
            </w:r>
          </w:p>
        </w:tc>
        <w:tc>
          <w:tcPr/>
          <w:p>
            <w:pPr>
              <w:pStyle w:val="Compact"/>
            </w:pPr>
            <w:r>
              <w:t xml:space="preserve">Per project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 to first value</w:t>
            </w:r>
          </w:p>
        </w:tc>
        <w:tc>
          <w:tcPr/>
          <w:p>
            <w:pPr>
              <w:pStyle w:val="Compact"/>
            </w:pPr>
            <w:r>
              <w:t xml:space="preserve">&lt; 90 days</w:t>
            </w:r>
          </w:p>
        </w:tc>
        <w:tc>
          <w:tcPr/>
          <w:p>
            <w:pPr>
              <w:pStyle w:val="Compact"/>
            </w:pPr>
            <w:r>
              <w:t xml:space="preserve">Per project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Implementation cost variance</w:t>
            </w:r>
          </w:p>
        </w:tc>
        <w:tc>
          <w:tcPr/>
          <w:p>
            <w:pPr>
              <w:pStyle w:val="Compact"/>
            </w:pPr>
            <w:r>
              <w:t xml:space="preserve">&lt; 10%</w:t>
            </w:r>
          </w:p>
        </w:tc>
        <w:tc>
          <w:tcPr/>
          <w:p>
            <w:pPr>
              <w:pStyle w:val="Compact"/>
            </w:pPr>
            <w:r>
              <w:t xml:space="preserve">Per project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satisfaction (implementation)</w:t>
            </w:r>
          </w:p>
        </w:tc>
        <w:tc>
          <w:tcPr/>
          <w:p>
            <w:pPr>
              <w:pStyle w:val="Compact"/>
            </w:pPr>
            <w:r>
              <w:t xml:space="preserve">&gt; 4.5/5</w:t>
            </w:r>
          </w:p>
        </w:tc>
        <w:tc>
          <w:tcPr/>
          <w:p>
            <w:pPr>
              <w:pStyle w:val="Compact"/>
            </w:pPr>
            <w:r>
              <w:t xml:space="preserve">Per project</w:t>
            </w:r>
          </w:p>
        </w:tc>
      </w:tr>
    </w:tbl>
    <w:p>
      <w:pPr>
        <w:pStyle w:val="Heading2"/>
      </w:pPr>
      <w:bookmarkStart w:id="11" w:name="_9181275079fad66191a281a9663b31e3f7020ac"/>
      <w:r>
        <w:t xml:space="preserve">2. Support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  <w:tc>
          <w:tcPr/>
          <w:p>
            <w:pPr>
              <w:pStyle w:val="Compact"/>
            </w:pPr>
            <w:r>
              <w:t xml:space="preserve">Frequency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Uptime</w:t>
            </w:r>
          </w:p>
        </w:tc>
        <w:tc>
          <w:tcPr/>
          <w:p>
            <w:pPr>
              <w:pStyle w:val="Compact"/>
            </w:pPr>
            <w:r>
              <w:t xml:space="preserve">&gt; 99.9%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 response time</w:t>
            </w:r>
          </w:p>
        </w:tc>
        <w:tc>
          <w:tcPr/>
          <w:p>
            <w:pPr>
              <w:pStyle w:val="Compact"/>
            </w:pPr>
            <w:r>
              <w:t xml:space="preserve">&lt; 30min</w:t>
            </w:r>
          </w:p>
        </w:tc>
        <w:tc>
          <w:tcPr/>
          <w:p>
            <w:pPr>
              <w:pStyle w:val="Compact"/>
            </w:pPr>
            <w:r>
              <w:t xml:space="preserve">Per incident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 resolution time</w:t>
            </w:r>
          </w:p>
        </w:tc>
        <w:tc>
          <w:tcPr/>
          <w:p>
            <w:pPr>
              <w:pStyle w:val="Compact"/>
            </w:pPr>
            <w:r>
              <w:t xml:space="preserve">&lt; 4h</w:t>
            </w:r>
          </w:p>
        </w:tc>
        <w:tc>
          <w:tcPr/>
          <w:p>
            <w:pPr>
              <w:pStyle w:val="Compact"/>
            </w:pPr>
            <w:r>
              <w:t xml:space="preserve">Per incident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CSAT</w:t>
            </w:r>
          </w:p>
        </w:tc>
        <w:tc>
          <w:tcPr/>
          <w:p>
            <w:pPr>
              <w:pStyle w:val="Compact"/>
            </w:pPr>
            <w:r>
              <w:t xml:space="preserve">&gt; 4.5/5</w:t>
            </w:r>
          </w:p>
        </w:tc>
        <w:tc>
          <w:tcPr/>
          <w:p>
            <w:pPr>
              <w:pStyle w:val="Compact"/>
            </w:pPr>
            <w:r>
              <w:t xml:space="preserve">Monthly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Ticket backlog</w:t>
            </w:r>
          </w:p>
        </w:tc>
        <w:tc>
          <w:tcPr/>
          <w:p>
            <w:pPr>
              <w:pStyle w:val="Compact"/>
            </w:pPr>
            <w:r>
              <w:t xml:space="preserve">&lt; 20</w:t>
            </w:r>
          </w:p>
        </w:tc>
        <w:tc>
          <w:tcPr/>
          <w:p>
            <w:pPr>
              <w:pStyle w:val="Compact"/>
            </w:pPr>
            <w:r>
              <w:t xml:space="preserve">Weekly</w:t>
            </w:r>
          </w:p>
        </w:tc>
      </w:tr>
    </w:tbl>
    <w:p>
      <w:pPr>
        <w:pStyle w:val="Heading2"/>
      </w:pPr>
      <w:bookmarkStart w:id="12" w:name="_4517dd54754bf9355e969b1624d36530cd6e777"/>
      <w:r>
        <w:t xml:space="preserve">3. Reliability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MTBF (mean time between failures)</w:t>
            </w:r>
          </w:p>
        </w:tc>
        <w:tc>
          <w:tcPr/>
          <w:p>
            <w:pPr>
              <w:pStyle w:val="Compact"/>
            </w:pPr>
            <w:r>
              <w:t xml:space="preserve">&gt; 720h</w:t>
            </w:r>
          </w:p>
        </w:tc>
      </w:tr>
      <w:tr>
        <w:tc>
          <w:tcPr/>
          <w:p>
            <w:pPr>
              <w:pStyle w:val="Compact"/>
            </w:pPr>
            <w:r>
              <w:t xml:space="preserve">MTTR (mean time to repair)</w:t>
            </w:r>
          </w:p>
        </w:tc>
        <w:tc>
          <w:tcPr/>
          <w:p>
            <w:pPr>
              <w:pStyle w:val="Compact"/>
            </w:pPr>
            <w:r>
              <w:t xml:space="preserve">&lt; 4h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 failure rate</w:t>
            </w:r>
          </w:p>
        </w:tc>
        <w:tc>
          <w:tcPr/>
          <w:p>
            <w:pPr>
              <w:pStyle w:val="Compact"/>
            </w:pPr>
            <w:r>
              <w:t xml:space="preserve">&lt; 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Deployment frequency</w:t>
            </w:r>
          </w:p>
        </w:tc>
        <w:tc>
          <w:tcPr/>
          <w:p>
            <w:pPr>
              <w:pStyle w:val="Compact"/>
            </w:pPr>
            <w:r>
              <w:t xml:space="preserve">Weekly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Lead time for change</w:t>
            </w:r>
          </w:p>
        </w:tc>
        <w:tc>
          <w:tcPr/>
          <w:p>
            <w:pPr>
              <w:pStyle w:val="Compact"/>
            </w:pPr>
            <w:r>
              <w:t xml:space="preserve">&lt; 2 weeks</w:t>
            </w:r>
          </w:p>
        </w:tc>
      </w:tr>
    </w:tbl>
    <w:p>
      <w:pPr>
        <w:pStyle w:val="Heading2"/>
      </w:pPr>
      <w:bookmarkStart w:id="13" w:name="_9ac114a8d83104ecce9f54c8d8fa2d1d2c2c831"/>
      <w:r>
        <w:t xml:space="preserve">4. Customer Success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retention</w:t>
            </w:r>
          </w:p>
        </w:tc>
        <w:tc>
          <w:tcPr/>
          <w:p>
            <w:pPr>
              <w:pStyle w:val="Compact"/>
            </w:pPr>
            <w:r>
              <w:t xml:space="preserve">&gt; 95%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 revenue retention</w:t>
            </w:r>
          </w:p>
        </w:tc>
        <w:tc>
          <w:tcPr/>
          <w:p>
            <w:pPr>
              <w:pStyle w:val="Compact"/>
            </w:pPr>
            <w:r>
              <w:t xml:space="preserve">&gt; 120%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 health score</w:t>
            </w:r>
          </w:p>
        </w:tc>
        <w:tc>
          <w:tcPr/>
          <w:p>
            <w:pPr>
              <w:pStyle w:val="Compact"/>
            </w:pPr>
            <w:r>
              <w:t xml:space="preserve">&gt; 80</w:t>
            </w:r>
          </w:p>
        </w:tc>
      </w:tr>
      <w:tr>
        <w:tc>
          <w:tcPr/>
          <w:p>
            <w:pPr>
              <w:pStyle w:val="Compact"/>
            </w:pPr>
            <w:r>
              <w:t xml:space="preserve">QBR completion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 to renewal (proactive)</w:t>
            </w:r>
          </w:p>
        </w:tc>
        <w:tc>
          <w:tcPr/>
          <w:p>
            <w:pPr>
              <w:pStyle w:val="Compact"/>
            </w:pPr>
            <w:r>
              <w:t xml:space="preserve">90 days</w:t>
            </w:r>
          </w:p>
        </w:tc>
      </w:tr>
    </w:tbl>
    <w:p>
      <w:pPr>
        <w:pStyle w:val="Heading2"/>
      </w:pPr>
      <w:bookmarkStart w:id="14" w:name="_b4d8a996bbafe19c607013a2b41bbb1f1daa32c"/>
      <w:r>
        <w:t xml:space="preserve">5. Security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Critical vulnerabilities open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High vulnerabilities open</w:t>
            </w:r>
          </w:p>
        </w:tc>
        <w:tc>
          <w:tcPr/>
          <w:p>
            <w:pPr>
              <w:pStyle w:val="Compact"/>
            </w:pPr>
            <w:r>
              <w:t xml:space="preserve">&lt;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Mean time to patch (critical)</w:t>
            </w:r>
          </w:p>
        </w:tc>
        <w:tc>
          <w:tcPr/>
          <w:p>
            <w:pPr>
              <w:pStyle w:val="Compact"/>
            </w:pPr>
            <w:r>
              <w:t xml:space="preserve">&lt; 7 days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incidents (per quarter)</w:t>
            </w:r>
          </w:p>
        </w:tc>
        <w:tc>
          <w:tcPr/>
          <w:p>
            <w:pPr>
              <w:pStyle w:val="Compact"/>
            </w:pPr>
            <w:r>
              <w:t xml:space="preserve">&lt;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Access reviews completed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</w:tbl>
    <w:p>
      <w:pPr>
        <w:pStyle w:val="Heading2"/>
      </w:pPr>
      <w:bookmarkStart w:id="15" w:name="_d5dbaf7cbace67d4c0773d6a8df14e5ae98a292"/>
      <w:r>
        <w:t xml:space="preserve">6. Compliance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 findings (open)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Policy reviews completed</w:t>
            </w:r>
          </w:p>
        </w:tc>
        <w:tc>
          <w:tcPr/>
          <w:p>
            <w:pPr>
              <w:pStyle w:val="Compact"/>
            </w:pPr>
            <w:r>
              <w:t xml:space="preserve">100%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Training completion</w:t>
            </w:r>
          </w:p>
        </w:tc>
        <w:tc>
          <w:tcPr/>
          <w:p>
            <w:pPr>
              <w:pStyle w:val="Compact"/>
            </w:pPr>
            <w:r>
              <w:t xml:space="preserve">&gt; 95%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 testing pass rate</w:t>
            </w:r>
          </w:p>
        </w:tc>
        <w:tc>
          <w:tcPr/>
          <w:p>
            <w:pPr>
              <w:pStyle w:val="Compact"/>
            </w:pPr>
            <w:r>
              <w:t xml:space="preserve">&gt; 95%</w:t>
            </w:r>
          </w:p>
        </w:tc>
      </w:tr>
    </w:tbl>
    <w:p>
      <w:pPr>
        <w:pStyle w:val="Heading2"/>
      </w:pPr>
      <w:bookmarkStart w:id="16" w:name="_239b359d4b64c9f5f82baa2878cc2d049720d69"/>
      <w:r>
        <w:t xml:space="preserve">7. Financial Metrics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Target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margin</w:t>
            </w:r>
          </w:p>
        </w:tc>
        <w:tc>
          <w:tcPr/>
          <w:p>
            <w:pPr>
              <w:pStyle w:val="Compact"/>
            </w:pPr>
            <w:r>
              <w:t xml:space="preserve">&gt; 75%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CAC payback</w:t>
            </w:r>
          </w:p>
        </w:tc>
        <w:tc>
          <w:tcPr/>
          <w:p>
            <w:pPr>
              <w:pStyle w:val="Compact"/>
            </w:pPr>
            <w:r>
              <w:t xml:space="preserve">&lt; 18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LTV/CAC</w:t>
            </w:r>
          </w:p>
        </w:tc>
        <w:tc>
          <w:tcPr/>
          <w:p>
            <w:pPr>
              <w:pStyle w:val="Compact"/>
            </w:pPr>
            <w:r>
              <w:t xml:space="preserve">&gt; 3.0x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Monthly burn</w:t>
            </w:r>
          </w:p>
        </w:tc>
        <w:tc>
          <w:tcPr/>
          <w:p>
            <w:pPr>
              <w:pStyle w:val="Compact"/>
            </w:pPr>
            <w:r>
              <w:t xml:space="preserve">&lt; SAR 650K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Runway</w:t>
            </w:r>
          </w:p>
        </w:tc>
        <w:tc>
          <w:tcPr/>
          <w:p>
            <w:pPr>
              <w:pStyle w:val="Compact"/>
            </w:pPr>
            <w:r>
              <w:t xml:space="preserve">&gt; 12 months</w:t>
            </w:r>
          </w:p>
        </w:tc>
      </w:tr>
    </w:tbl>
    <w:p>
      <w:pPr>
        <w:pStyle w:val="Heading2"/>
      </w:pPr>
      <w:bookmarkStart w:id="17" w:name="_bdb9ce4342d6b3781e3f12af101b9695a9b738c"/>
      <w:r>
        <w:t xml:space="preserve">8. Dashboard Cadence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Daily:</w:t>
      </w:r>
      <w:r>
        <w:t xml:space="preserve"> </w:t>
      </w:r>
      <w:r>
        <w:t xml:space="preserve">Uptime, P1 incidents, deployment status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Weekly:</w:t>
      </w:r>
      <w:r>
        <w:t xml:space="preserve"> </w:t>
      </w:r>
      <w:r>
        <w:t xml:space="preserve">Support KPIs, pipeline, delivery status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Monthly:</w:t>
      </w:r>
      <w:r>
        <w:t xml:space="preserve"> </w:t>
      </w:r>
      <w:r>
        <w:t xml:space="preserve">All metrics, board pack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Quarterly:</w:t>
      </w:r>
      <w:r>
        <w:t xml:space="preserve"> </w:t>
      </w:r>
      <w:r>
        <w:t xml:space="preserve">Strategic review, OKRs</w:t>
      </w:r>
    </w:p>
    <w:p>
      <w:pPr>
        <w:pStyle w:val="Heading2"/>
      </w:pPr>
      <w:bookmarkStart w:id="18" w:name="_94cde5365c57d7f7dbb0fb70e878142fb68df39"/>
      <w:r>
        <w:t xml:space="preserve">9. Escalation Triggers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Threshold</w:t>
            </w:r>
          </w:p>
        </w:tc>
        <w:tc>
          <w:tcPr/>
          <w:p>
            <w:pPr>
              <w:pStyle w:val="Compact"/>
            </w:pPr>
            <w:r>
              <w:t xml:space="preserve">Escalation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Uptime</w:t>
            </w:r>
          </w:p>
        </w:tc>
        <w:tc>
          <w:tcPr/>
          <w:p>
            <w:pPr>
              <w:pStyle w:val="Compact"/>
            </w:pPr>
            <w:r>
              <w:t xml:space="preserve">&lt; 99.5%</w:t>
            </w:r>
          </w:p>
        </w:tc>
        <w:tc>
          <w:tcPr/>
          <w:p>
            <w:pPr>
              <w:pStyle w:val="Compact"/>
            </w:pPr>
            <w:r>
              <w:t xml:space="preserve">CTO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P1 incidents</w:t>
            </w:r>
          </w:p>
        </w:tc>
        <w:tc>
          <w:tcPr/>
          <w:p>
            <w:pPr>
              <w:pStyle w:val="Compact"/>
            </w:pPr>
            <w:r>
              <w:t xml:space="preserve">&gt; 1/month</w:t>
            </w:r>
          </w:p>
        </w:tc>
        <w:tc>
          <w:tcPr/>
          <w:p>
            <w:pPr>
              <w:pStyle w:val="Compact"/>
            </w:pPr>
            <w:r>
              <w:t xml:space="preserve">CTO + CISO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CSAT</w:t>
            </w:r>
          </w:p>
        </w:tc>
        <w:tc>
          <w:tcPr/>
          <w:p>
            <w:pPr>
              <w:pStyle w:val="Compact"/>
            </w:pPr>
            <w:r>
              <w:t xml:space="preserve">&lt; 4.0</w:t>
            </w:r>
          </w:p>
        </w:tc>
        <w:tc>
          <w:tcPr/>
          <w:p>
            <w:pPr>
              <w:pStyle w:val="Compact"/>
            </w:pPr>
            <w:r>
              <w:t xml:space="preserve">VP CS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Churn risk</w:t>
            </w:r>
          </w:p>
        </w:tc>
        <w:tc>
          <w:tcPr/>
          <w:p>
            <w:pPr>
              <w:pStyle w:val="Compact"/>
            </w:pPr>
            <w:r>
              <w:t xml:space="preserve">&gt; 10% ARR</w:t>
            </w:r>
          </w:p>
        </w:tc>
        <w:tc>
          <w:tcPr/>
          <w:p>
            <w:pPr>
              <w:pStyle w:val="Compact"/>
            </w:pPr>
            <w:r>
              <w:t xml:space="preserve">CEO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Burn rate</w:t>
            </w:r>
          </w:p>
        </w:tc>
        <w:tc>
          <w:tcPr/>
          <w:p>
            <w:pPr>
              <w:pStyle w:val="Compact"/>
            </w:pPr>
            <w:r>
              <w:t xml:space="preserve">&gt; 20% variance</w:t>
            </w:r>
          </w:p>
        </w:tc>
        <w:tc>
          <w:tcPr/>
          <w:p>
            <w:pPr>
              <w:pStyle w:val="Compact"/>
            </w:pPr>
            <w:r>
              <w:t xml:space="preserve">CFO + Board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Metrics reviewed monthly by Executive Committee.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Operations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 Operational Metrics</dc:title>
  <dc:creator>HISN Platform</dc:creator>
  <cp:keywords>HISN, FCDOS, financial crime, decision operating system</cp:keywords>
  <dcterms:created xsi:type="dcterms:W3CDTF">2026-10-14T09:28:20Z</dcterms:created>
  <dcterms:modified xsi:type="dcterms:W3CDTF">2026-10-14T09:28:20Z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