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DISASTER RECOVERY PLAN — DETAILED</w:t>
      </w:r>
    </w:p>
    <w:p>
      <w:pPr>
        <w:pStyle w:val="Heading2"/>
      </w:pPr>
      <w:bookmarkStart w:id="9" w:name="_48641ac783f11a060f459741eba06291d77c752"/>
      <w:r>
        <w:t xml:space="preserve">1. Risk Assessment</w:t>
      </w:r>
    </w:p>
    <w:p>
      <w:pPr>
        <w:pStyle w:val="FirstParagraph"/>
      </w:pPr>
      <w:r>
        <w:t xml:space="preserve">Natural, cyber, vendor, human</w:t>
      </w:r>
    </w:p>
    <w:p>
      <w:pPr>
        <w:pStyle w:val="Heading2"/>
      </w:pPr>
      <w:bookmarkStart w:id="10" w:name="_assets"/>
      <w:r>
        <w:t xml:space="preserve">2. Assets</w:t>
      </w:r>
    </w:p>
    <w:p>
      <w:pPr>
        <w:pStyle w:val="FirstParagraph"/>
      </w:pPr>
      <w:r>
        <w:t xml:space="preserve">Cloud, DB, app, DNS, CDN</w:t>
      </w:r>
    </w:p>
    <w:p>
      <w:pPr>
        <w:pStyle w:val="Heading2"/>
      </w:pPr>
      <w:bookmarkStart w:id="11" w:name="_6ca470c6e2792ae5085d0389e5acbed6b85e840"/>
      <w:r>
        <w:t xml:space="preserve">3. Recovery Tiers</w:t>
      </w:r>
    </w:p>
    <w:p>
      <w:pPr>
        <w:pStyle w:val="FirstParagraph"/>
      </w:pPr>
      <w:r>
        <w:t xml:space="preserve">Tier 1: &lt; 1h | Tier 2: &lt; 4h | Tier 3: &lt; 24h</w:t>
      </w:r>
    </w:p>
    <w:p>
      <w:pPr>
        <w:pStyle w:val="Heading2"/>
      </w:pPr>
      <w:bookmarkStart w:id="12" w:name="_strategies"/>
      <w:r>
        <w:t xml:space="preserve">4. Strategies</w:t>
      </w:r>
    </w:p>
    <w:p>
      <w:pPr>
        <w:pStyle w:val="Compact"/>
        <w:numPr>
          <w:ilvl w:val="0"/>
          <w:numId w:val="1001"/>
        </w:numPr>
      </w:pPr>
      <w:r>
        <w:t xml:space="preserve">Multi-AZ</w:t>
      </w:r>
    </w:p>
    <w:p>
      <w:pPr>
        <w:pStyle w:val="Compact"/>
        <w:numPr>
          <w:ilvl w:val="0"/>
          <w:numId w:val="1001"/>
        </w:numPr>
      </w:pPr>
      <w:r>
        <w:t xml:space="preserve">Cross-region backup</w:t>
      </w:r>
    </w:p>
    <w:p>
      <w:pPr>
        <w:pStyle w:val="Compact"/>
        <w:numPr>
          <w:ilvl w:val="0"/>
          <w:numId w:val="1001"/>
        </w:numPr>
      </w:pPr>
      <w:r>
        <w:t xml:space="preserve">IaC rebuild</w:t>
      </w:r>
    </w:p>
    <w:p>
      <w:pPr>
        <w:pStyle w:val="Heading2"/>
      </w:pPr>
      <w:bookmarkStart w:id="13" w:name="_f336608c57bf51d09094e278ea37f66828beceb"/>
      <w:r>
        <w:t xml:space="preserve">5. Failover Procedures</w:t>
      </w:r>
    </w:p>
    <w:p>
      <w:pPr>
        <w:pStyle w:val="FirstParagraph"/>
      </w:pPr>
      <w:r>
        <w:t xml:space="preserve">Step-by-step per service</w:t>
      </w:r>
    </w:p>
    <w:p>
      <w:pPr>
        <w:pStyle w:val="Heading2"/>
      </w:pPr>
      <w:bookmarkStart w:id="14" w:name="_testing"/>
      <w:r>
        <w:t xml:space="preserve">6. Testing</w:t>
      </w:r>
    </w:p>
    <w:p>
      <w:pPr>
        <w:pStyle w:val="FirstParagraph"/>
      </w:pPr>
      <w:r>
        <w:t xml:space="preserve">Quarterly partial; annual full</w:t>
      </w:r>
    </w:p>
    <w:p>
      <w:pPr>
        <w:pStyle w:val="Heading2"/>
      </w:pPr>
      <w:bookmarkStart w:id="15" w:name="_documentation"/>
      <w:r>
        <w:t xml:space="preserve">7. Documentation</w:t>
      </w:r>
    </w:p>
    <w:p>
      <w:pPr>
        <w:pStyle w:val="FirstParagraph"/>
      </w:pPr>
      <w:r>
        <w:t xml:space="preserve">Runbooks per service</w:t>
      </w:r>
    </w:p>
    <w:p>
      <w:pPr>
        <w:pStyle w:val="Heading2"/>
      </w:pPr>
      <w:bookmarkStart w:id="16" w:name="_evidence"/>
      <w:r>
        <w:t xml:space="preserve">8. Evidence</w:t>
      </w:r>
    </w:p>
    <w:p>
      <w:pPr>
        <w:pStyle w:val="FirstParagraph"/>
      </w:pPr>
      <w:r>
        <w:t xml:space="preserve">DR drill reports retained 3y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Disaster Recovery Plan Detailed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