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GTM STRATEGY</w:t>
      </w:r>
    </w:p>
    <w:p>
      <w:pPr>
        <w:pStyle w:val="Heading2"/>
      </w:pPr>
      <w:bookmarkStart w:id="9" w:name="_ee29590ebdeac37461459b4f20b36f7850f9836"/>
      <w:r>
        <w:t xml:space="preserve">Target Segments</w:t>
      </w:r>
    </w:p>
    <w:p>
      <w:pPr>
        <w:pStyle w:val="Heading3"/>
      </w:pPr>
      <w:bookmarkStart w:id="10" w:name="_b6b1d76946677f26bcb289cdae54642b80a1471"/>
      <w:r>
        <w:t xml:space="preserve">Tier 1: Large Banks</w:t>
      </w:r>
    </w:p>
    <w:p>
      <w:pPr>
        <w:pStyle w:val="FirstParagraph"/>
      </w:pPr>
      <w:r>
        <w:t xml:space="preserve">NCB, Al Rajhi, SAB, Riyad Bank, BSF | ACV SAR 3-5M | 9-18 months</w:t>
      </w:r>
    </w:p>
    <w:p>
      <w:pPr>
        <w:pStyle w:val="Heading3"/>
      </w:pPr>
      <w:bookmarkStart w:id="11" w:name="_2f8ee63de22c1f97608b31f6c4f4b42c2cd8421"/>
      <w:r>
        <w:t xml:space="preserve">Tier 2: Mid Banks + Insurance</w:t>
      </w:r>
    </w:p>
    <w:p>
      <w:pPr>
        <w:pStyle w:val="FirstParagraph"/>
      </w:pPr>
      <w:r>
        <w:t xml:space="preserve">Albilad, Alinma, Tawuniya, Bupa | ACV SAR 1-3M | 6-12 months</w:t>
      </w:r>
    </w:p>
    <w:p>
      <w:pPr>
        <w:pStyle w:val="Heading3"/>
      </w:pPr>
      <w:bookmarkStart w:id="12" w:name="_00ee6ddea4eb0981b3d75aaaedeb1d6a8edef34"/>
      <w:r>
        <w:t xml:space="preserve">Tier 3: FinTech + Exchange</w:t>
      </w:r>
    </w:p>
    <w:p>
      <w:pPr>
        <w:pStyle w:val="FirstParagraph"/>
      </w:pPr>
      <w:r>
        <w:t xml:space="preserve">STC Pay, urpay, Enjaz | ACV SAR 500K-1.5M | 3-6 months</w:t>
      </w:r>
    </w:p>
    <w:p>
      <w:pPr>
        <w:pStyle w:val="Heading2"/>
      </w:pPr>
      <w:bookmarkStart w:id="13" w:name="_motion"/>
      <w:r>
        <w:t xml:space="preserve">Motion</w:t>
      </w:r>
    </w:p>
    <w:p>
      <w:pPr>
        <w:pStyle w:val="FirstParagraph"/>
      </w:pPr>
      <w:r>
        <w:t xml:space="preserve">Intro → Technical dive → POC (90d) → Pilot (6m) → Contract</w:t>
      </w:r>
    </w:p>
    <w:p>
      <w:pPr>
        <w:pStyle w:val="Heading2"/>
      </w:pPr>
      <w:bookmarkStart w:id="14" w:name="_channels"/>
      <w:r>
        <w:t xml:space="preserve">Channels</w:t>
      </w:r>
    </w:p>
    <w:p>
      <w:pPr>
        <w:pStyle w:val="FirstParagraph"/>
      </w:pPr>
      <w:r>
        <w:t xml:space="preserve">Direct + SIs (Accenture, Deloitte, PwC) + Cloud marketplaces</w:t>
      </w:r>
    </w:p>
    <w:p>
      <w:pPr>
        <w:pStyle w:val="Heading2"/>
      </w:pPr>
      <w:bookmarkStart w:id="15" w:name="_positioning"/>
      <w:r>
        <w:t xml:space="preserve">Positioning</w:t>
      </w:r>
    </w:p>
    <w:p>
      <w:pPr>
        <w:pStyle w:val="FirstParagraph"/>
      </w:pPr>
      <w:r>
        <w:t xml:space="preserve">“Financial Crime Decision Operating System”</w:t>
      </w:r>
      <w:r>
        <w:t xml:space="preserve"> </w:t>
      </w:r>
      <w:r>
        <w:t xml:space="preserve">— not AML software</w:t>
      </w:r>
    </w:p>
    <w:p>
      <w:pPr>
        <w:pStyle w:val="Heading2"/>
      </w:pPr>
      <w:bookmarkStart w:id="16" w:name="_proof"/>
      <w:r>
        <w:t xml:space="preserve">Proof</w:t>
      </w:r>
    </w:p>
    <w:p>
      <w:pPr>
        <w:pStyle w:val="FirstParagraph"/>
      </w:pPr>
      <w:r>
        <w:t xml:space="preserve">Architecture, 980+ tests, multi-domain, DNA/Evidence/Audit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GTM Strategy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