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IT POLICY</w:t>
      </w:r>
    </w:p>
    <w:p>
      <w:pPr>
        <w:pStyle w:val="Heading2"/>
      </w:pPr>
      <w:bookmarkStart w:id="9" w:name="_cbd06abc48872c57dc4f0f204c8e5f8426b33dc"/>
      <w:r>
        <w:t xml:space="preserve">1. Acceptable Use</w:t>
      </w:r>
    </w:p>
    <w:p>
      <w:pPr>
        <w:pStyle w:val="Heading2"/>
      </w:pPr>
      <w:bookmarkStart w:id="10" w:name="_80294da94f605aa06806099b9b0761c069bab99"/>
      <w:r>
        <w:t xml:space="preserve">2. Device Management</w:t>
      </w:r>
    </w:p>
    <w:p>
      <w:pPr>
        <w:pStyle w:val="FirstParagraph"/>
      </w:pPr>
      <w:r>
        <w:t xml:space="preserve">MDM required</w:t>
      </w:r>
    </w:p>
    <w:p>
      <w:pPr>
        <w:pStyle w:val="Heading2"/>
      </w:pPr>
      <w:bookmarkStart w:id="11" w:name="_password"/>
      <w:r>
        <w:t xml:space="preserve">3. Password</w:t>
      </w:r>
    </w:p>
    <w:p>
      <w:pPr>
        <w:pStyle w:val="FirstParagraph"/>
      </w:pPr>
      <w:r>
        <w:t xml:space="preserve">12+ chars; MFA</w:t>
      </w:r>
    </w:p>
    <w:p>
      <w:pPr>
        <w:pStyle w:val="Heading2"/>
      </w:pPr>
      <w:bookmarkStart w:id="12" w:name="_access"/>
      <w:r>
        <w:t xml:space="preserve">4. Access</w:t>
      </w:r>
    </w:p>
    <w:p>
      <w:pPr>
        <w:pStyle w:val="FirstParagraph"/>
      </w:pPr>
      <w:r>
        <w:t xml:space="preserve">Least privilege; reviews quarterly</w:t>
      </w:r>
    </w:p>
    <w:p>
      <w:pPr>
        <w:pStyle w:val="Heading2"/>
      </w:pPr>
      <w:bookmarkStart w:id="13" w:name="_data"/>
      <w:r>
        <w:t xml:space="preserve">5. Data</w:t>
      </w:r>
    </w:p>
    <w:p>
      <w:pPr>
        <w:pStyle w:val="FirstParagraph"/>
      </w:pPr>
      <w:r>
        <w:t xml:space="preserve">Encryption at rest/in transit</w:t>
      </w:r>
    </w:p>
    <w:p>
      <w:pPr>
        <w:pStyle w:val="Heading2"/>
      </w:pPr>
      <w:bookmarkStart w:id="14" w:name="_backups"/>
      <w:r>
        <w:t xml:space="preserve">6. Backups</w:t>
      </w:r>
    </w:p>
    <w:p>
      <w:pPr>
        <w:pStyle w:val="FirstParagraph"/>
      </w:pPr>
      <w:r>
        <w:t xml:space="preserve">Daily; tested quarterly</w:t>
      </w:r>
    </w:p>
    <w:p>
      <w:pPr>
        <w:pStyle w:val="Heading2"/>
      </w:pPr>
      <w:bookmarkStart w:id="15" w:name="_18d95510af93c49d675889707ca4da2cc1fa1e9"/>
      <w:r>
        <w:t xml:space="preserve">7. Incident Reporting</w:t>
      </w:r>
    </w:p>
    <w:p>
      <w:pPr>
        <w:pStyle w:val="FirstParagraph"/>
      </w:pPr>
      <w:r>
        <w:t xml:space="preserve">Within 1h</w:t>
      </w:r>
    </w:p>
    <w:p>
      <w:pPr>
        <w:pStyle w:val="Heading2"/>
      </w:pPr>
      <w:bookmarkStart w:id="16" w:name="_software"/>
      <w:r>
        <w:t xml:space="preserve">8. Software</w:t>
      </w:r>
    </w:p>
    <w:p>
      <w:pPr>
        <w:pStyle w:val="FirstParagraph"/>
      </w:pPr>
      <w:r>
        <w:t xml:space="preserve">Approved list only</w:t>
      </w:r>
    </w:p>
    <w:p>
      <w:pPr>
        <w:pStyle w:val="Heading2"/>
      </w:pPr>
      <w:bookmarkStart w:id="17" w:name="_byod"/>
      <w:r>
        <w:t xml:space="preserve">9. BYOD</w:t>
      </w:r>
    </w:p>
    <w:p>
      <w:pPr>
        <w:pStyle w:val="FirstParagraph"/>
      </w:pPr>
      <w:r>
        <w:t xml:space="preserve">Allowed with MDM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Policy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