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OKRs — 12 MONTHS</w:t>
      </w:r>
    </w:p>
    <w:p>
      <w:pPr>
        <w:pStyle w:val="Heading2"/>
      </w:pPr>
      <w:bookmarkStart w:id="9" w:name="_50a24ba9f06bde8e9cb35a9068eb2a13982f1ce"/>
      <w:r>
        <w:t xml:space="preserve">Q1 (M1-M3)</w:t>
      </w:r>
    </w:p>
    <w:p>
      <w:pPr>
        <w:pStyle w:val="Compact"/>
        <w:numPr>
          <w:ilvl w:val="0"/>
          <w:numId w:val="1001"/>
        </w:numPr>
      </w:pPr>
      <w:r>
        <w:t xml:space="preserve">M2 Resilience complete</w:t>
      </w:r>
    </w:p>
    <w:p>
      <w:pPr>
        <w:pStyle w:val="Compact"/>
        <w:numPr>
          <w:ilvl w:val="0"/>
          <w:numId w:val="1001"/>
        </w:numPr>
      </w:pPr>
      <w:r>
        <w:t xml:space="preserve">PenTest completed</w:t>
      </w:r>
    </w:p>
    <w:p>
      <w:pPr>
        <w:pStyle w:val="Compact"/>
        <w:numPr>
          <w:ilvl w:val="0"/>
          <w:numId w:val="1001"/>
        </w:numPr>
      </w:pPr>
      <w:r>
        <w:t xml:space="preserve">VP Eng hired</w:t>
      </w:r>
    </w:p>
    <w:p>
      <w:pPr>
        <w:pStyle w:val="Compact"/>
        <w:numPr>
          <w:ilvl w:val="0"/>
          <w:numId w:val="1001"/>
        </w:numPr>
      </w:pPr>
      <w:r>
        <w:t xml:space="preserve">SOC2 started</w:t>
      </w:r>
    </w:p>
    <w:p>
      <w:pPr>
        <w:pStyle w:val="Heading2"/>
      </w:pPr>
      <w:bookmarkStart w:id="10" w:name="_11efe2bb01b7c49863942035bfa7c768d9c0278"/>
      <w:r>
        <w:t xml:space="preserve">Q2 (M4-M6)</w:t>
      </w:r>
    </w:p>
    <w:p>
      <w:pPr>
        <w:pStyle w:val="Compact"/>
        <w:numPr>
          <w:ilvl w:val="0"/>
          <w:numId w:val="1002"/>
        </w:numPr>
      </w:pPr>
      <w:r>
        <w:t xml:space="preserve">M3 Identity/Screening activated</w:t>
      </w:r>
    </w:p>
    <w:p>
      <w:pPr>
        <w:pStyle w:val="Compact"/>
        <w:numPr>
          <w:ilvl w:val="0"/>
          <w:numId w:val="1002"/>
        </w:numPr>
      </w:pPr>
      <w:r>
        <w:t xml:space="preserve">Browser E2E authenticated</w:t>
      </w:r>
    </w:p>
    <w:p>
      <w:pPr>
        <w:pStyle w:val="Compact"/>
        <w:numPr>
          <w:ilvl w:val="0"/>
          <w:numId w:val="1002"/>
        </w:numPr>
      </w:pPr>
      <w:r>
        <w:t xml:space="preserve">SIEM live</w:t>
      </w:r>
    </w:p>
    <w:p>
      <w:pPr>
        <w:pStyle w:val="Compact"/>
        <w:numPr>
          <w:ilvl w:val="0"/>
          <w:numId w:val="1002"/>
        </w:numPr>
      </w:pPr>
      <w:r>
        <w:t xml:space="preserve">2 bank POCs started</w:t>
      </w:r>
    </w:p>
    <w:p>
      <w:pPr>
        <w:pStyle w:val="Heading2"/>
      </w:pPr>
      <w:bookmarkStart w:id="11" w:name="_de2c073cf34887fcafe4476d20aaa095d4cbd1c"/>
      <w:r>
        <w:t xml:space="preserve">Q3 (M7-M9)</w:t>
      </w:r>
    </w:p>
    <w:p>
      <w:pPr>
        <w:pStyle w:val="Compact"/>
        <w:numPr>
          <w:ilvl w:val="0"/>
          <w:numId w:val="1003"/>
        </w:numPr>
      </w:pPr>
      <w:r>
        <w:t xml:space="preserve">1 bank POC complete</w:t>
      </w:r>
    </w:p>
    <w:p>
      <w:pPr>
        <w:pStyle w:val="Compact"/>
        <w:numPr>
          <w:ilvl w:val="0"/>
          <w:numId w:val="1003"/>
        </w:numPr>
      </w:pPr>
      <w:r>
        <w:t xml:space="preserve">2 more POCs in progress</w:t>
      </w:r>
    </w:p>
    <w:p>
      <w:pPr>
        <w:pStyle w:val="Compact"/>
        <w:numPr>
          <w:ilvl w:val="0"/>
          <w:numId w:val="1003"/>
        </w:numPr>
      </w:pPr>
      <w:r>
        <w:t xml:space="preserve">Series A materials ready</w:t>
      </w:r>
    </w:p>
    <w:p>
      <w:pPr>
        <w:pStyle w:val="Compact"/>
        <w:numPr>
          <w:ilvl w:val="0"/>
          <w:numId w:val="1003"/>
        </w:numPr>
      </w:pPr>
      <w:r>
        <w:t xml:space="preserve">25% Saudi headcount</w:t>
      </w:r>
    </w:p>
    <w:p>
      <w:pPr>
        <w:pStyle w:val="Heading2"/>
      </w:pPr>
      <w:bookmarkStart w:id="12" w:name="_4f13ea0453da3547bf6a0a6de74181eba85215b"/>
      <w:r>
        <w:t xml:space="preserve">Q4 (M10-M12)</w:t>
      </w:r>
    </w:p>
    <w:p>
      <w:pPr>
        <w:pStyle w:val="Compact"/>
        <w:numPr>
          <w:ilvl w:val="0"/>
          <w:numId w:val="1004"/>
        </w:numPr>
      </w:pPr>
      <w:r>
        <w:t xml:space="preserve">First paid pilot signed</w:t>
      </w:r>
    </w:p>
    <w:p>
      <w:pPr>
        <w:pStyle w:val="Compact"/>
        <w:numPr>
          <w:ilvl w:val="0"/>
          <w:numId w:val="1004"/>
        </w:numPr>
      </w:pPr>
      <w:r>
        <w:t xml:space="preserve">ARR ≥ SAR 500K</w:t>
      </w:r>
    </w:p>
    <w:p>
      <w:pPr>
        <w:pStyle w:val="Compact"/>
        <w:numPr>
          <w:ilvl w:val="0"/>
          <w:numId w:val="1004"/>
        </w:numPr>
      </w:pPr>
      <w:r>
        <w:t xml:space="preserve">Series A term sheet</w:t>
      </w:r>
    </w:p>
    <w:p>
      <w:pPr>
        <w:pStyle w:val="Compact"/>
        <w:numPr>
          <w:ilvl w:val="0"/>
          <w:numId w:val="1004"/>
        </w:numPr>
      </w:pPr>
      <w:r>
        <w:t xml:space="preserve">30% Saudi headcount</w:t>
      </w:r>
    </w:p>
    <w:p>
      <w:pPr>
        <w:pStyle w:val="Heading2"/>
      </w:pPr>
      <w:bookmarkStart w:id="13" w:name="_kpis"/>
      <w:r>
        <w:t xml:space="preserve">KPIs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Customers</w:t>
            </w:r>
          </w:p>
        </w:tc>
        <w:tc>
          <w:tcPr/>
          <w:p>
            <w:pPr>
              <w:pStyle w:val="Compact"/>
            </w:pPr>
            <w:r>
              <w:t xml:space="preserve">1 paid pilot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ARR</w:t>
            </w:r>
          </w:p>
        </w:tc>
        <w:tc>
          <w:tcPr/>
          <w:p>
            <w:pPr>
              <w:pStyle w:val="Compact"/>
            </w:pPr>
            <w:r>
              <w:t xml:space="preserve">SAR 500K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Team</w:t>
            </w:r>
          </w:p>
        </w:tc>
        <w:tc>
          <w:tcPr/>
          <w:p>
            <w:pPr>
              <w:pStyle w:val="Compact"/>
            </w:pPr>
            <w:r>
              <w:t xml:space="preserve">28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Tests</w:t>
            </w:r>
          </w:p>
        </w:tc>
        <w:tc>
          <w:tcPr/>
          <w:p>
            <w:pPr>
              <w:pStyle w:val="Compact"/>
            </w:pPr>
            <w:r>
              <w:t xml:space="preserve">1,200+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PenTest</w:t>
            </w:r>
          </w:p>
        </w:tc>
        <w:tc>
          <w:tcPr/>
          <w:p>
            <w:pPr>
              <w:pStyle w:val="Compact"/>
            </w:pPr>
            <w:r>
              <w:t xml:space="preserve">Closed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M2</w:t>
            </w:r>
          </w:p>
        </w:tc>
        <w:tc>
          <w:tcPr/>
          <w:p>
            <w:pPr>
              <w:pStyle w:val="Compact"/>
            </w:pPr>
            <w:r>
              <w:t xml:space="preserve">Complete</w:t>
            </w:r>
          </w:p>
        </w:tc>
      </w:tr>
    </w:tbl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Operations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OKRs 12M</dc:title>
  <dc:creator>HISN Platform</dc:creator>
  <cp:keywords>HISN, FCDOS, financial crime, decision operating system</cp:keywords>
  <dcterms:created xsi:type="dcterms:W3CDTF">2026-10-13T13:04:12Z</dcterms:created>
  <dcterms:modified xsi:type="dcterms:W3CDTF">2026-10-13T13:04:12Z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