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REMOTE WORK POLICY</w:t>
      </w:r>
    </w:p>
    <w:p>
      <w:pPr>
        <w:pStyle w:val="Heading2"/>
      </w:pPr>
      <w:bookmarkStart w:id="9" w:name="_eligibility"/>
      <w:r>
        <w:t xml:space="preserve">1. Eligibility</w:t>
      </w:r>
    </w:p>
    <w:p>
      <w:pPr>
        <w:pStyle w:val="FirstParagraph"/>
      </w:pPr>
      <w:r>
        <w:t xml:space="preserve">All employees</w:t>
      </w:r>
    </w:p>
    <w:p>
      <w:pPr>
        <w:pStyle w:val="Heading2"/>
      </w:pPr>
      <w:bookmarkStart w:id="10" w:name="_hybrid"/>
      <w:r>
        <w:t xml:space="preserve">2. Hybrid</w:t>
      </w:r>
    </w:p>
    <w:p>
      <w:pPr>
        <w:pStyle w:val="FirstParagraph"/>
      </w:pPr>
      <w:r>
        <w:t xml:space="preserve">2-3 days in office</w:t>
      </w:r>
    </w:p>
    <w:p>
      <w:pPr>
        <w:pStyle w:val="Heading2"/>
      </w:pPr>
      <w:bookmarkStart w:id="11" w:name="_6a067caabae761c6b1b64b2f749627a92f8a96a"/>
      <w:r>
        <w:t xml:space="preserve">3. Full Remote</w:t>
      </w:r>
    </w:p>
    <w:p>
      <w:pPr>
        <w:pStyle w:val="FirstParagraph"/>
      </w:pPr>
      <w:r>
        <w:t xml:space="preserve">Case-by-case</w:t>
      </w:r>
    </w:p>
    <w:p>
      <w:pPr>
        <w:pStyle w:val="Heading2"/>
      </w:pPr>
      <w:bookmarkStart w:id="12" w:name="_equipment"/>
      <w:r>
        <w:t xml:space="preserve">4. Equipment</w:t>
      </w:r>
    </w:p>
    <w:p>
      <w:pPr>
        <w:pStyle w:val="FirstParagraph"/>
      </w:pPr>
      <w:r>
        <w:t xml:space="preserve">Provided</w:t>
      </w:r>
    </w:p>
    <w:p>
      <w:pPr>
        <w:pStyle w:val="Heading2"/>
      </w:pPr>
      <w:bookmarkStart w:id="13" w:name="_security"/>
      <w:r>
        <w:t xml:space="preserve">5. Security</w:t>
      </w:r>
    </w:p>
    <w:p>
      <w:pPr>
        <w:pStyle w:val="FirstParagraph"/>
      </w:pPr>
      <w:r>
        <w:t xml:space="preserve">VPN, MDM, MFA</w:t>
      </w:r>
    </w:p>
    <w:p>
      <w:pPr>
        <w:pStyle w:val="Heading2"/>
      </w:pPr>
      <w:bookmarkStart w:id="14" w:name="_7e8d2da79a612ab9de9a89ae10d17cae8a41766"/>
      <w:r>
        <w:t xml:space="preserve">6. Working Hours</w:t>
      </w:r>
    </w:p>
    <w:p>
      <w:pPr>
        <w:pStyle w:val="FirstParagraph"/>
      </w:pPr>
      <w:r>
        <w:t xml:space="preserve">Flexible; core 10-4</w:t>
      </w:r>
    </w:p>
    <w:p>
      <w:pPr>
        <w:pStyle w:val="Heading2"/>
      </w:pPr>
      <w:bookmarkStart w:id="15" w:name="_expenses"/>
      <w:r>
        <w:t xml:space="preserve">7. Expenses</w:t>
      </w:r>
    </w:p>
    <w:p>
      <w:pPr>
        <w:pStyle w:val="FirstParagraph"/>
      </w:pPr>
      <w:r>
        <w:t xml:space="preserve">Home office allowance SAR 5K one-time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Work Policy</dc:title>
  <dc:creator>HISN Platform</dc:creator>
  <cp:keywords>HISN, FCDOS, financial crime, decision operating system</cp:keywords>
  <dcterms:created xsi:type="dcterms:W3CDTF">2026-10-14T06:28:33Z</dcterms:created>
  <dcterms:modified xsi:type="dcterms:W3CDTF">2026-10-14T06:28:33Z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