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VENDOR MANAGEMENT POLICY</w:t>
      </w:r>
    </w:p>
    <w:p>
      <w:pPr>
        <w:pStyle w:val="Heading2"/>
      </w:pPr>
      <w:bookmarkStart w:id="9" w:name="_categories"/>
      <w:r>
        <w:t xml:space="preserve">1. Categories</w:t>
      </w:r>
    </w:p>
    <w:p>
      <w:pPr>
        <w:pStyle w:val="FirstParagraph"/>
      </w:pPr>
      <w:r>
        <w:t xml:space="preserve">Critical, Important, Standard</w:t>
      </w:r>
    </w:p>
    <w:p>
      <w:pPr>
        <w:pStyle w:val="Heading2"/>
      </w:pPr>
      <w:bookmarkStart w:id="10" w:name="_5d761321e271f2a6370737b5877f2fc005cb0c9"/>
      <w:r>
        <w:t xml:space="preserve">2. Due Diligence</w:t>
      </w:r>
    </w:p>
    <w:p>
      <w:pPr>
        <w:pStyle w:val="FirstParagraph"/>
      </w:pPr>
      <w:r>
        <w:t xml:space="preserve">Security, financial, legal</w:t>
      </w:r>
    </w:p>
    <w:p>
      <w:pPr>
        <w:pStyle w:val="Heading2"/>
      </w:pPr>
      <w:bookmarkStart w:id="11" w:name="_contracts"/>
      <w:r>
        <w:t xml:space="preserve">3. Contracts</w:t>
      </w:r>
    </w:p>
    <w:p>
      <w:pPr>
        <w:pStyle w:val="FirstParagraph"/>
      </w:pPr>
      <w:r>
        <w:t xml:space="preserve">MSA + DPA + SLA</w:t>
      </w:r>
    </w:p>
    <w:p>
      <w:pPr>
        <w:pStyle w:val="Heading2"/>
      </w:pPr>
      <w:bookmarkStart w:id="12" w:name="_monitoring"/>
      <w:r>
        <w:t xml:space="preserve">4. Monitoring</w:t>
      </w:r>
    </w:p>
    <w:p>
      <w:pPr>
        <w:pStyle w:val="FirstParagraph"/>
      </w:pPr>
      <w:r>
        <w:t xml:space="preserve">Annual review</w:t>
      </w:r>
    </w:p>
    <w:p>
      <w:pPr>
        <w:pStyle w:val="Heading2"/>
      </w:pPr>
      <w:bookmarkStart w:id="13" w:name="_exit"/>
      <w:r>
        <w:t xml:space="preserve">5. Exit</w:t>
      </w:r>
    </w:p>
    <w:p>
      <w:pPr>
        <w:pStyle w:val="FirstParagraph"/>
      </w:pPr>
      <w:r>
        <w:t xml:space="preserve">Data return + deletion</w:t>
      </w:r>
    </w:p>
    <w:p>
      <w:pPr>
        <w:pStyle w:val="Heading2"/>
      </w:pPr>
      <w:bookmarkStart w:id="14" w:name="_concentration"/>
      <w:r>
        <w:t xml:space="preserve">6. Concentration</w:t>
      </w:r>
    </w:p>
    <w:p>
      <w:pPr>
        <w:pStyle w:val="FirstParagraph"/>
      </w:pPr>
      <w:r>
        <w:t xml:space="preserve">No single vendor &gt; 30% risk</w:t>
      </w:r>
    </w:p>
    <w:p>
      <w:pPr>
        <w:pStyle w:val="Heading2"/>
      </w:pPr>
      <w:bookmarkStart w:id="15" w:name="_register"/>
      <w:r>
        <w:t xml:space="preserve">7. Register</w:t>
      </w:r>
    </w:p>
    <w:p>
      <w:pPr>
        <w:pStyle w:val="FirstParagraph"/>
      </w:pPr>
      <w:r>
        <w:t xml:space="preserve">Maintained; quarterly review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Vendor Management Policy</dc:title>
  <dc:creator>HISN Platform</dc:creator>
  <cp:keywords>HISN, FCDOS, financial crime, decision operating system</cp:keywords>
  <dcterms:created xsi:type="dcterms:W3CDTF">2026-10-14T06:28:33Z</dcterms:created>
  <dcterms:modified xsi:type="dcterms:W3CDTF">2026-10-14T06:28:33Z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