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02_Competitive_Battle_Cards</w:t>
      </w:r>
    </w:p>
    <w:p>
      <w:pPr>
        <w:pStyle w:val="Heading1"/>
      </w:pPr>
      <w:bookmarkStart w:id="19" w:name="_dc2794162fc888c63fcb3ff178735ac7185e8b5"/>
      <w:r>
        <w:t xml:space="preserve">Competitive Battle Cards</w:t>
      </w:r>
    </w:p>
    <w:p>
      <w:pPr>
        <w:pStyle w:val="FirstParagraph"/>
      </w:pPr>
      <w:r>
        <w:rPr>
          <w:b/>
          <w:bCs/>
        </w:rPr>
        <w:t xml:space="preserve">HISN — Financial Crime Decision Operating System</w:t>
      </w:r>
      <w:r>
        <w:t xml:space="preserve"> </w:t>
      </w:r>
      <w:r>
        <w:rPr>
          <w:b/>
          <w:bCs/>
        </w:rPr>
        <w:t xml:space="preserve">Version:</w:t>
      </w:r>
      <w:r>
        <w:t xml:space="preserve"> </w:t>
      </w:r>
      <w:r>
        <w:t xml:space="preserve">3.0 |</w:t>
      </w:r>
      <w:r>
        <w:t xml:space="preserve"> </w:t>
      </w:r>
      <w:r>
        <w:rPr>
          <w:b/>
          <w:bCs/>
        </w:rPr>
        <w:t xml:space="preserve">Date:</w:t>
      </w:r>
      <w:r>
        <w:t xml:space="preserve"> </w:t>
      </w:r>
      <w:r>
        <w:t xml:space="preserve">October 2026</w:t>
      </w:r>
      <w:r>
        <w:t xml:space="preserve"> </w:t>
      </w:r>
      <w:r>
        <w:rPr>
          <w:b/>
          <w:bCs/>
        </w:rPr>
        <w:t xml:space="preserve">Owner:</w:t>
      </w:r>
      <w:r>
        <w:t xml:space="preserve"> </w:t>
      </w:r>
      <w:r>
        <w:t xml:space="preserve">Chief Revenue Officer</w:t>
      </w:r>
      <w:r>
        <w:t xml:space="preserve"> </w:t>
      </w:r>
      <w:r>
        <w:rPr>
          <w:b/>
          <w:bCs/>
        </w:rPr>
        <w:t xml:space="preserve">Classification:</w:t>
      </w:r>
      <w:r>
        <w:t xml:space="preserve"> </w:t>
      </w:r>
      <w:r>
        <w:t xml:space="preserve">Confidential |</w:t>
      </w:r>
      <w:r>
        <w:t xml:space="preserve"> </w:t>
      </w:r>
      <w:r>
        <w:rPr>
          <w:b/>
          <w:bCs/>
        </w:rPr>
        <w:t xml:space="preserve">Status:</w:t>
      </w:r>
      <w:r>
        <w:t xml:space="preserve"> </w:t>
      </w:r>
      <w:r>
        <w:t xml:space="preserve">Framework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0" w:name="_df3d0f1cc916325ee18f97ce3e72745a510564f"/>
      <w:r>
        <w:t xml:space="preserve">Document Control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Value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Document Title</w:t>
            </w:r>
          </w:p>
        </w:tc>
        <w:tc>
          <w:tcPr/>
          <w:p>
            <w:pPr>
              <w:pStyle w:val="Compact"/>
            </w:pPr>
            <w:r>
              <w:t xml:space="preserve">Competitive Battle Cards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3.0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October 2026</w:t>
            </w:r>
          </w:p>
        </w:tc>
      </w:tr>
      <w:tr>
        <w:tc>
          <w:tcPr/>
          <w:p>
            <w:pPr>
              <w:pStyle w:val="Compact"/>
            </w:pPr>
            <w:r>
              <w:t xml:space="preserve">Owner</w:t>
            </w:r>
          </w:p>
        </w:tc>
        <w:tc>
          <w:tcPr/>
          <w:p>
            <w:pPr>
              <w:pStyle w:val="Compact"/>
            </w:pPr>
            <w:r>
              <w:t xml:space="preserve">CRO</w:t>
            </w:r>
          </w:p>
        </w:tc>
      </w:tr>
      <w:tr>
        <w:tc>
          <w:tcPr/>
          <w:p>
            <w:pPr>
              <w:pStyle w:val="Compact"/>
            </w:pPr>
            <w:r>
              <w:t xml:space="preserve">Classification</w:t>
            </w:r>
          </w:p>
        </w:tc>
        <w:tc>
          <w:tcPr/>
          <w:p>
            <w:pPr>
              <w:pStyle w:val="Compact"/>
            </w:pPr>
            <w:r>
              <w:t xml:space="preserve">Confidential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Framework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Basis of Preparation</w:t>
            </w:r>
          </w:p>
        </w:tc>
        <w:tc>
          <w:tcPr/>
          <w:p>
            <w:pPr>
              <w:pStyle w:val="Compact"/>
            </w:pPr>
            <w:r>
              <w:t xml:space="preserve">Public information, market research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Competitor data may require verification. Estimates only.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_93d928819fa3e9b7fa7709dd59ae69a55bdaa14"/>
      <w:r>
        <w:t xml:space="preserve">1. Competitive Landscape</w:t>
      </w:r>
    </w:p>
    <w:p>
      <w:pPr>
        <w:pStyle w:val="FirstParagraph"/>
      </w:pPr>
      <w:r>
        <w:t xml:space="preserve">HISN competes in the Financial Crime Compliance technology market. This document provides positioning guidance against key competitors.</w:t>
      </w:r>
    </w:p>
    <w:p>
      <w:pPr>
        <w:pStyle w:val="BodyText"/>
      </w:pPr>
      <w:r>
        <w:rPr>
          <w:b/>
          <w:bCs/>
        </w:rPr>
        <w:t xml:space="preserve">Note:</w:t>
      </w:r>
      <w:r>
        <w:t xml:space="preserve"> </w:t>
      </w:r>
      <w:r>
        <w:t xml:space="preserve">All competitor claims are based on public information. Company marketing materials are not treated as verified facts.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2" w:name="_605e460afd587ebf477a34244d60afb49c2bada"/>
      <w:r>
        <w:t xml:space="preserve">2. Category Positioning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Example Competitors</w:t>
            </w:r>
          </w:p>
        </w:tc>
        <w:tc>
          <w:tcPr/>
          <w:p>
            <w:pPr>
              <w:pStyle w:val="Compact"/>
            </w:pPr>
            <w:r>
              <w:t xml:space="preserve">HISN Position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Legacy AML</w:t>
            </w:r>
          </w:p>
        </w:tc>
        <w:tc>
          <w:tcPr/>
          <w:p>
            <w:pPr>
              <w:pStyle w:val="Compact"/>
            </w:pPr>
            <w:r>
              <w:t xml:space="preserve">NICE, SAS, Oracle FCCM</w:t>
            </w:r>
          </w:p>
        </w:tc>
        <w:tc>
          <w:tcPr/>
          <w:p>
            <w:pPr>
              <w:pStyle w:val="Compact"/>
            </w:pPr>
            <w:r>
              <w:t xml:space="preserve">HISN = decision layer, not replacement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Screening</w:t>
            </w:r>
          </w:p>
        </w:tc>
        <w:tc>
          <w:tcPr/>
          <w:p>
            <w:pPr>
              <w:pStyle w:val="Compact"/>
            </w:pPr>
            <w:r>
              <w:t xml:space="preserve">ComplyAdvantage, LSEG, Sanction Scanner</w:t>
            </w:r>
          </w:p>
        </w:tc>
        <w:tc>
          <w:tcPr/>
          <w:p>
            <w:pPr>
              <w:pStyle w:val="Compact"/>
            </w:pPr>
            <w:r>
              <w:t xml:space="preserve">HISN = consumes data</w:t>
            </w:r>
          </w:p>
        </w:tc>
      </w:tr>
      <w:tr>
        <w:tc>
          <w:tcPr/>
          <w:p>
            <w:pPr>
              <w:pStyle w:val="Compact"/>
            </w:pPr>
            <w:r>
              <w:t xml:space="preserve">Fraud</w:t>
            </w:r>
          </w:p>
        </w:tc>
        <w:tc>
          <w:tcPr/>
          <w:p>
            <w:pPr>
              <w:pStyle w:val="Compact"/>
            </w:pPr>
            <w:r>
              <w:t xml:space="preserve">Feedzai, FICO</w:t>
            </w:r>
          </w:p>
        </w:tc>
        <w:tc>
          <w:tcPr/>
          <w:p>
            <w:pPr>
              <w:pStyle w:val="Compact"/>
            </w:pPr>
            <w:r>
              <w:t xml:space="preserve">HISN = unified decision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Graph</w:t>
            </w:r>
          </w:p>
        </w:tc>
        <w:tc>
          <w:tcPr/>
          <w:p>
            <w:pPr>
              <w:pStyle w:val="Compact"/>
            </w:pPr>
            <w:r>
              <w:t xml:space="preserve">Quantexa</w:t>
            </w:r>
          </w:p>
        </w:tc>
        <w:tc>
          <w:tcPr/>
          <w:p>
            <w:pPr>
              <w:pStyle w:val="Compact"/>
            </w:pPr>
            <w:r>
              <w:t xml:space="preserve">HISN = orchestration above graph</w:t>
            </w:r>
          </w:p>
        </w:tc>
      </w:tr>
      <w:tr>
        <w:tc>
          <w:tcPr/>
          <w:p>
            <w:pPr>
              <w:pStyle w:val="Compact"/>
            </w:pPr>
            <w:r>
              <w:t xml:space="preserve">KYC</w:t>
            </w:r>
          </w:p>
        </w:tc>
        <w:tc>
          <w:tcPr/>
          <w:p>
            <w:pPr>
              <w:pStyle w:val="Compact"/>
            </w:pPr>
            <w:r>
              <w:t xml:space="preserve">Sumsub, SEON</w:t>
            </w:r>
          </w:p>
        </w:tc>
        <w:tc>
          <w:tcPr/>
          <w:p>
            <w:pPr>
              <w:pStyle w:val="Compact"/>
            </w:pPr>
            <w:r>
              <w:t xml:space="preserve">HISN = consumes verification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Regional AML</w:t>
            </w:r>
          </w:p>
        </w:tc>
        <w:tc>
          <w:tcPr/>
          <w:p>
            <w:pPr>
              <w:pStyle w:val="Compact"/>
            </w:pPr>
            <w:r>
              <w:t xml:space="preserve">Mozn/FOCAL</w:t>
            </w:r>
          </w:p>
        </w:tc>
        <w:tc>
          <w:tcPr/>
          <w:p>
            <w:pPr>
              <w:pStyle w:val="Compact"/>
            </w:pPr>
            <w:r>
              <w:t xml:space="preserve">HISN = decision governance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CMA niche</w:t>
            </w:r>
          </w:p>
        </w:tc>
        <w:tc>
          <w:tcPr/>
          <w:p>
            <w:pPr>
              <w:pStyle w:val="Compact"/>
            </w:pPr>
            <w:r>
              <w:t xml:space="preserve">Dal / Ayn</w:t>
            </w:r>
          </w:p>
        </w:tc>
        <w:tc>
          <w:tcPr/>
          <w:p>
            <w:pPr>
              <w:pStyle w:val="Compact"/>
            </w:pPr>
            <w:r>
              <w:t xml:space="preserve">HISN = enterprise-wide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23" w:name="_ce2e2ff4984760d0a2552e2fcee48b613feadd8"/>
      <w:r>
        <w:t xml:space="preserve">3. Key Differentiators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HISN</w:t>
            </w:r>
          </w:p>
        </w:tc>
        <w:tc>
          <w:tcPr/>
          <w:p>
            <w:pPr>
              <w:pStyle w:val="Compact"/>
            </w:pPr>
            <w:r>
              <w:t xml:space="preserve">Competitors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Decision-centric</w:t>
            </w:r>
          </w:p>
        </w:tc>
        <w:tc>
          <w:tcPr/>
          <w:p>
            <w:pPr>
              <w:pStyle w:val="Compact"/>
            </w:pPr>
            <w:r>
              <w:t xml:space="preserve">Detection-centric</w:t>
            </w:r>
          </w:p>
        </w:tc>
      </w:tr>
      <w:tr>
        <w:tc>
          <w:tcPr/>
          <w:p>
            <w:pPr>
              <w:pStyle w:val="Compact"/>
            </w:pPr>
            <w:r>
              <w:t xml:space="preserve">Audit-grade evidence</w:t>
            </w:r>
          </w:p>
        </w:tc>
        <w:tc>
          <w:tcPr/>
          <w:p>
            <w:pPr>
              <w:pStyle w:val="Compact"/>
            </w:pPr>
            <w:r>
              <w:t xml:space="preserve">Fragmented logs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Canonical Decision Runtime</w:t>
            </w:r>
          </w:p>
        </w:tc>
        <w:tc>
          <w:tcPr/>
          <w:p>
            <w:pPr>
              <w:pStyle w:val="Compact"/>
            </w:pPr>
            <w:r>
              <w:t xml:space="preserve">Multiple runtimes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Decision DNA</w:t>
            </w:r>
          </w:p>
        </w:tc>
        <w:tc>
          <w:tcPr/>
          <w:p>
            <w:pPr>
              <w:pStyle w:val="Compact"/>
            </w:pPr>
            <w:r>
              <w:t xml:space="preserve">No immutable lineage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Multi-tenant RLS</w:t>
            </w:r>
          </w:p>
        </w:tc>
        <w:tc>
          <w:tcPr/>
          <w:p>
            <w:pPr>
              <w:pStyle w:val="Compact"/>
            </w:pPr>
            <w:r>
              <w:t xml:space="preserve">Partial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MANAGEMENT ASSUMPTION — requires customer validation.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4" w:name="_95e099ae1dbc2edd68049954d5a196dafad2d79"/>
      <w:r>
        <w:t xml:space="preserve">4. Objection Responses</w:t>
      </w:r>
    </w:p>
    <w:p>
      <w:pPr>
        <w:pStyle w:val="Heading3"/>
      </w:pPr>
      <w:bookmarkStart w:id="25" w:name="_5229643f78b2d187de6b7b8e5954ad812ba6ff3"/>
      <w:r>
        <w:t xml:space="preserve">vs. NICE Actimize</w:t>
      </w:r>
    </w:p>
    <w:p>
      <w:pPr>
        <w:pStyle w:val="Compact"/>
        <w:numPr>
          <w:ilvl w:val="0"/>
          <w:numId w:val="1001"/>
        </w:numPr>
      </w:pPr>
      <w:r>
        <w:t xml:space="preserve">NICE: enterprise-grade, but legacy</w:t>
      </w:r>
    </w:p>
    <w:p>
      <w:pPr>
        <w:pStyle w:val="Compact"/>
        <w:numPr>
          <w:ilvl w:val="0"/>
          <w:numId w:val="1001"/>
        </w:numPr>
      </w:pPr>
      <w:r>
        <w:t xml:space="preserve">HISN: modern, cloud-native, decision-focused</w:t>
      </w:r>
    </w:p>
    <w:p>
      <w:pPr>
        <w:pStyle w:val="Heading3"/>
      </w:pPr>
      <w:bookmarkStart w:id="26" w:name="_8a2de213462269d7848437c89acaa869445884f"/>
      <w:r>
        <w:t xml:space="preserve">vs. SAS</w:t>
      </w:r>
    </w:p>
    <w:p>
      <w:pPr>
        <w:pStyle w:val="Compact"/>
        <w:numPr>
          <w:ilvl w:val="0"/>
          <w:numId w:val="1002"/>
        </w:numPr>
      </w:pPr>
      <w:r>
        <w:t xml:space="preserve">SAS: analytics heritage, but heavy</w:t>
      </w:r>
    </w:p>
    <w:p>
      <w:pPr>
        <w:pStyle w:val="Compact"/>
        <w:numPr>
          <w:ilvl w:val="0"/>
          <w:numId w:val="1002"/>
        </w:numPr>
      </w:pPr>
      <w:r>
        <w:t xml:space="preserve">HISN: lightweight, API-first</w:t>
      </w:r>
    </w:p>
    <w:p>
      <w:pPr>
        <w:pStyle w:val="Heading3"/>
      </w:pPr>
      <w:bookmarkStart w:id="27" w:name="_01c1999ae52b6871e3914912ac40a305595d88a"/>
      <w:r>
        <w:t xml:space="preserve">vs. Mozn/FOCAL</w:t>
      </w:r>
    </w:p>
    <w:p>
      <w:pPr>
        <w:pStyle w:val="Compact"/>
        <w:numPr>
          <w:ilvl w:val="0"/>
          <w:numId w:val="1003"/>
        </w:numPr>
      </w:pPr>
      <w:r>
        <w:t xml:space="preserve">Mozn: regional leader in screening</w:t>
      </w:r>
    </w:p>
    <w:p>
      <w:pPr>
        <w:pStyle w:val="Compact"/>
        <w:numPr>
          <w:ilvl w:val="0"/>
          <w:numId w:val="1003"/>
        </w:numPr>
      </w:pPr>
      <w:r>
        <w:t xml:space="preserve">HISN: decision governance layer, not just screening</w:t>
      </w:r>
    </w:p>
    <w:p>
      <w:pPr>
        <w:pStyle w:val="Heading3"/>
      </w:pPr>
      <w:bookmarkStart w:id="28" w:name="_cd5ffd40c6901dd75a679bd0062ffd62b270cf6"/>
      <w:r>
        <w:t xml:space="preserve">vs. Feedzai</w:t>
      </w:r>
    </w:p>
    <w:p>
      <w:pPr>
        <w:pStyle w:val="Compact"/>
        <w:numPr>
          <w:ilvl w:val="0"/>
          <w:numId w:val="1004"/>
        </w:numPr>
      </w:pPr>
      <w:r>
        <w:t xml:space="preserve">Feedzai: fraud AI</w:t>
      </w:r>
    </w:p>
    <w:p>
      <w:pPr>
        <w:pStyle w:val="Compact"/>
        <w:numPr>
          <w:ilvl w:val="0"/>
          <w:numId w:val="1004"/>
        </w:numPr>
      </w:pPr>
      <w:r>
        <w:t xml:space="preserve">HISN: AML + fraud + KYC + sanctions + graph in one runtime</w:t>
      </w:r>
    </w:p>
    <w:p>
      <w:pPr>
        <w:pStyle w:val="Heading3"/>
      </w:pPr>
      <w:bookmarkStart w:id="29" w:name="_5a81def05ac5637cfc70532d109404c1bde14ba"/>
      <w:r>
        <w:t xml:space="preserve">vs. Quantexa</w:t>
      </w:r>
    </w:p>
    <w:p>
      <w:pPr>
        <w:pStyle w:val="Compact"/>
        <w:numPr>
          <w:ilvl w:val="0"/>
          <w:numId w:val="1005"/>
        </w:numPr>
      </w:pPr>
      <w:r>
        <w:t xml:space="preserve">Quantexa: graph intelligence</w:t>
      </w:r>
    </w:p>
    <w:p>
      <w:pPr>
        <w:pStyle w:val="Compact"/>
        <w:numPr>
          <w:ilvl w:val="0"/>
          <w:numId w:val="1005"/>
        </w:numPr>
      </w:pPr>
      <w:r>
        <w:t xml:space="preserve">HISN: orchestration layer above graph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0" w:name="_04f1d6f5572f6333fffdc1d69ed3805d131ceba"/>
      <w:r>
        <w:t xml:space="preserve">5. Win Themes (SCENARIO)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Scenario</w:t>
            </w:r>
          </w:p>
        </w:tc>
        <w:tc>
          <w:tcPr/>
          <w:p>
            <w:pPr>
              <w:pStyle w:val="Compact"/>
            </w:pPr>
            <w:r>
              <w:t xml:space="preserve">Win Theme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Bank replacing legacy</w:t>
            </w:r>
          </w:p>
        </w:tc>
        <w:tc>
          <w:tcPr/>
          <w:p>
            <w:pPr>
              <w:pStyle w:val="Compact"/>
            </w:pPr>
            <w:r>
              <w:t xml:space="preserve">Modern architecture + decision lineage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FinTech scaling</w:t>
            </w:r>
          </w:p>
        </w:tc>
        <w:tc>
          <w:tcPr/>
          <w:p>
            <w:pPr>
              <w:pStyle w:val="Compact"/>
            </w:pPr>
            <w:r>
              <w:t xml:space="preserve">API-first + fast integration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Insurance fraud</w:t>
            </w:r>
          </w:p>
        </w:tc>
        <w:tc>
          <w:tcPr/>
          <w:p>
            <w:pPr>
              <w:pStyle w:val="Compact"/>
            </w:pPr>
            <w:r>
              <w:t xml:space="preserve">Unified decision + evidence</w:t>
            </w:r>
          </w:p>
        </w:tc>
      </w:tr>
      <w:tr>
        <w:tc>
          <w:tcPr/>
          <w:p>
            <w:pPr>
              <w:pStyle w:val="Compact"/>
            </w:pPr>
            <w:r>
              <w:t xml:space="preserve">Exchange/Remittance</w:t>
            </w:r>
          </w:p>
        </w:tc>
        <w:tc>
          <w:tcPr/>
          <w:p>
            <w:pPr>
              <w:pStyle w:val="Compact"/>
            </w:pPr>
            <w:r>
              <w:t xml:space="preserve">Cross-border + real-time</w:t>
            </w:r>
          </w:p>
        </w:tc>
      </w:tr>
    </w:tbl>
    <w:p>
      <w:pPr>
        <w:pStyle w:val="FirstParagraph"/>
      </w:pPr>
      <w:r>
        <w:rPr>
          <w:b/>
          <w:bCs/>
        </w:rPr>
        <w:t xml:space="preserve">Classification:</w:t>
      </w:r>
      <w:r>
        <w:t xml:space="preserve"> </w:t>
      </w:r>
      <w:r>
        <w:t xml:space="preserve">PREDICTED — not validated.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1" w:name="_335b26f11174824658b9b153e2998239dee1ef0"/>
      <w:r>
        <w:t xml:space="preserve">6. Loss Risks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Risk</w:t>
            </w:r>
          </w:p>
        </w:tc>
        <w:tc>
          <w:tcPr/>
          <w:p>
            <w:pPr>
              <w:pStyle w:val="Compact"/>
            </w:pPr>
            <w:r>
              <w:t xml:space="preserve">Mitigation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Incumbent relationship</w:t>
            </w:r>
          </w:p>
        </w:tc>
        <w:tc>
          <w:tcPr/>
          <w:p>
            <w:pPr>
              <w:pStyle w:val="Compact"/>
            </w:pPr>
            <w:r>
              <w:t xml:space="preserve">Decision-layer positioning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Pricing pressure</w:t>
            </w:r>
          </w:p>
        </w:tc>
        <w:tc>
          <w:tcPr/>
          <w:p>
            <w:pPr>
              <w:pStyle w:val="Compact"/>
            </w:pPr>
            <w:r>
              <w:t xml:space="preserve">Value-based pricing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Brand recognition</w:t>
            </w:r>
          </w:p>
        </w:tc>
        <w:tc>
          <w:tcPr/>
          <w:p>
            <w:pPr>
              <w:pStyle w:val="Compact"/>
            </w:pPr>
            <w:r>
              <w:t xml:space="preserve">Pilot-first strategy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Perceived risk</w:t>
            </w:r>
          </w:p>
        </w:tc>
        <w:tc>
          <w:tcPr/>
          <w:p>
            <w:pPr>
              <w:pStyle w:val="Compact"/>
            </w:pPr>
            <w:r>
              <w:t xml:space="preserve">Transparent assurance pack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Heading2"/>
      </w:pPr>
      <w:bookmarkStart w:id="32" w:name="_a8382d0f642c063810e549a547bb9561acdcd7d"/>
      <w:r>
        <w:t xml:space="preserve">7. Red Team: Could HISN Be Wrong?</w:t>
      </w:r>
    </w:p>
    <w:p>
      <w:pPr>
        <w:pStyle w:val="Compact"/>
        <w:numPr>
          <w:ilvl w:val="0"/>
          <w:numId w:val="1006"/>
        </w:numPr>
      </w:pPr>
      <w:r>
        <w:t xml:space="preserve">Existing FCC vendors may already cover decision governance as features</w:t>
      </w:r>
    </w:p>
    <w:p>
      <w:pPr>
        <w:pStyle w:val="Compact"/>
        <w:numPr>
          <w:ilvl w:val="0"/>
          <w:numId w:val="1006"/>
        </w:numPr>
      </w:pPr>
      <w:r>
        <w:t xml:space="preserve">Customers may prefer consolidated platforms</w:t>
      </w:r>
    </w:p>
    <w:p>
      <w:pPr>
        <w:pStyle w:val="Compact"/>
        <w:numPr>
          <w:ilvl w:val="0"/>
          <w:numId w:val="1006"/>
        </w:numPr>
      </w:pPr>
      <w:r>
        <w:t xml:space="preserve">Saudi implementation partners may provide similar functionality</w:t>
      </w:r>
    </w:p>
    <w:p>
      <w:pPr>
        <w:pStyle w:val="Compact"/>
        <w:numPr>
          <w:ilvl w:val="0"/>
          <w:numId w:val="1006"/>
        </w:numPr>
      </w:pPr>
      <w:r>
        <w:t xml:space="preserve">HISN differentiation may be architectural, not commercial</w:t>
      </w:r>
    </w:p>
    <w:p>
      <w:pPr>
        <w:pStyle w:val="FirstParagraph"/>
      </w:pPr>
      <w:r>
        <w:rPr>
          <w:b/>
          <w:bCs/>
        </w:rPr>
        <w:t xml:space="preserve">All of these require validation. None should be dismissed.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33" w:name="_disclaimer"/>
      <w:r>
        <w:t xml:space="preserve">8. Disclaimer</w:t>
      </w:r>
    </w:p>
    <w:p>
      <w:pPr>
        <w:pStyle w:val="FirstParagraph"/>
      </w:pPr>
      <w:r>
        <w:t xml:space="preserve">This Battle Card document is for internal sales use.</w:t>
      </w:r>
      <w:r>
        <w:t xml:space="preserve"> </w:t>
      </w:r>
      <w:r>
        <w:rPr>
          <w:b/>
          <w:bCs/>
        </w:rPr>
        <w:t xml:space="preserve">All competitor claims are based on public information and may require verification. All win themes are PREDICTED, not validated.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HISN FCDOS — Where Trust Begins.</w:t>
      </w:r>
      <w:r>
        <w:t xml:space="preserve"> </w:t>
      </w:r>
      <w:r>
        <w:rPr>
          <w:i/>
          <w:iCs/>
        </w:rPr>
        <w:t xml:space="preserve">Confidential — Not for Distribution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134" w:right="1134" w:bottom="1134" w:left="1134" w:header="283" w:footer="454" w:gutter="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Sales &amp; Marketing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ajawal" w:hAnsi="Tajawal" w:cs="Tajawal"/>
      <w:color w:val="2C2C2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Tajawal" w:hAnsi="Tajawal" w:cs="Tajawal"/>
      <w:b/>
      <w:bCs/>
      <w:color w:val="0A0A0A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ajawal" w:hAnsi="Tajawal" w:cs="Tajawal"/>
      <w:b/>
      <w:color w:val="C9A45B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18" Type="http://schemas.openxmlformats.org/officeDocument/2006/relationships/numbering" Target="numbering.xml"/><Relationship Id="rId17" Type="http://schemas.openxmlformats.org/officeDocument/2006/relationships/styles" Target="styles.xml"/><Relationship Id="rId16" Type="http://schemas.openxmlformats.org/officeDocument/2006/relationships/settings" Target="settings.xml"/><Relationship Id="rId15" Type="http://schemas.openxmlformats.org/officeDocument/2006/relationships/webSettings" Target="webSettings.xml"/><Relationship Id="rId14" Type="http://schemas.openxmlformats.org/officeDocument/2006/relationships/fontTable" Target="fontTable.xml"/><Relationship Id="rId13" Type="http://schemas.openxmlformats.org/officeDocument/2006/relationships/theme" Target="theme/theme1.xml"/><Relationship Id="rId12" Type="http://schemas.openxmlformats.org/officeDocument/2006/relationships/footnotes" Target="footnotes.xml"/><Relationship Id="rId1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Competitive Battle Cards</dc:title>
  <dc:creator>HISN Platform</dc:creator>
  <cp:keywords>HISN, FCDOS, financial crime, decision operating system</cp:keywords>
  <dcterms:created xsi:type="dcterms:W3CDTF">2026-10-14T13:44:57Z</dcterms:created>
  <dcterms:modified xsi:type="dcterms:W3CDTF">2026-10-14T13:44:57Z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