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CUSTOMER SUCCESS PLAYBOOK</w:t>
      </w:r>
    </w:p>
    <w:p>
      <w:pPr>
        <w:pStyle w:val="Heading2"/>
      </w:pPr>
      <w:bookmarkStart w:id="9" w:name="_onboarding"/>
      <w:r>
        <w:t xml:space="preserve">1. Onboarding</w:t>
      </w:r>
    </w:p>
    <w:p>
      <w:pPr>
        <w:pStyle w:val="FirstParagraph"/>
      </w:pPr>
      <w:r>
        <w:t xml:space="preserve">Kickoff → config → training → go-live (30 days)</w:t>
      </w:r>
    </w:p>
    <w:p>
      <w:pPr>
        <w:pStyle w:val="Heading2"/>
      </w:pPr>
      <w:bookmarkStart w:id="10" w:name="_e424ff3ce978c6b3a311a4c16f749bfa9381e41"/>
      <w:r>
        <w:t xml:space="preserve">2. Success Metrics</w:t>
      </w:r>
    </w:p>
    <w:p>
      <w:pPr>
        <w:pStyle w:val="FirstParagraph"/>
      </w:pPr>
      <w:r>
        <w:t xml:space="preserve">Time to value, adoption, NPS</w:t>
      </w:r>
    </w:p>
    <w:p>
      <w:pPr>
        <w:pStyle w:val="Heading2"/>
      </w:pPr>
      <w:bookmarkStart w:id="11" w:name="_qbrs"/>
      <w:r>
        <w:t xml:space="preserve">3. QBRs</w:t>
      </w:r>
    </w:p>
    <w:p>
      <w:pPr>
        <w:pStyle w:val="FirstParagraph"/>
      </w:pPr>
      <w:r>
        <w:t xml:space="preserve">Quarterly business reviews</w:t>
      </w:r>
    </w:p>
    <w:p>
      <w:pPr>
        <w:pStyle w:val="Heading2"/>
      </w:pPr>
      <w:bookmarkStart w:id="12" w:name="_expansion"/>
      <w:r>
        <w:t xml:space="preserve">4. Expansion</w:t>
      </w:r>
    </w:p>
    <w:p>
      <w:pPr>
        <w:pStyle w:val="FirstParagraph"/>
      </w:pPr>
      <w:r>
        <w:t xml:space="preserve">Upsell modules; user expansion</w:t>
      </w:r>
    </w:p>
    <w:p>
      <w:pPr>
        <w:pStyle w:val="Heading2"/>
      </w:pPr>
      <w:bookmarkStart w:id="13" w:name="_renewal"/>
      <w:r>
        <w:t xml:space="preserve">5. Renewal</w:t>
      </w:r>
    </w:p>
    <w:p>
      <w:pPr>
        <w:pStyle w:val="FirstParagraph"/>
      </w:pPr>
      <w:r>
        <w:t xml:space="preserve">90 days advance</w:t>
      </w:r>
    </w:p>
    <w:p>
      <w:pPr>
        <w:pStyle w:val="Heading2"/>
      </w:pPr>
      <w:bookmarkStart w:id="14" w:name="_escalation"/>
      <w:r>
        <w:t xml:space="preserve">6. Escalation</w:t>
      </w:r>
    </w:p>
    <w:p>
      <w:pPr>
        <w:pStyle w:val="FirstParagraph"/>
      </w:pPr>
      <w:r>
        <w:t xml:space="preserve">CSM → Manager → VP</w:t>
      </w:r>
    </w:p>
    <w:p>
      <w:pPr>
        <w:pStyle w:val="Heading2"/>
      </w:pPr>
      <w:bookmarkStart w:id="15" w:name="_3effc61739079cedfb5604e59830135f59f79f3"/>
      <w:r>
        <w:t xml:space="preserve">7. Churn Prevention</w:t>
      </w:r>
    </w:p>
    <w:p>
      <w:pPr>
        <w:pStyle w:val="FirstParagraph"/>
      </w:pPr>
      <w:r>
        <w:t xml:space="preserve">Health score monitoring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Playbook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