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MARKETING PLAN</w:t>
      </w:r>
    </w:p>
    <w:p>
      <w:pPr>
        <w:pStyle w:val="Heading2"/>
      </w:pPr>
      <w:bookmarkStart w:id="9" w:name="_objectives"/>
      <w:r>
        <w:t xml:space="preserve">Objectives</w:t>
      </w:r>
    </w:p>
    <w:p>
      <w:pPr>
        <w:pStyle w:val="Compact"/>
        <w:numPr>
          <w:ilvl w:val="0"/>
          <w:numId w:val="1001"/>
        </w:numPr>
      </w:pPr>
      <w:r>
        <w:t xml:space="preserve">100 qualified leads/quarter</w:t>
      </w:r>
    </w:p>
    <w:p>
      <w:pPr>
        <w:pStyle w:val="Compact"/>
        <w:numPr>
          <w:ilvl w:val="0"/>
          <w:numId w:val="1001"/>
        </w:numPr>
      </w:pPr>
      <w:r>
        <w:t xml:space="preserve">20% conversion to POC</w:t>
      </w:r>
    </w:p>
    <w:p>
      <w:pPr>
        <w:pStyle w:val="Heading2"/>
      </w:pPr>
      <w:bookmarkStart w:id="10" w:name="_target"/>
      <w:r>
        <w:t xml:space="preserve">Target</w:t>
      </w:r>
    </w:p>
    <w:p>
      <w:pPr>
        <w:pStyle w:val="FirstParagraph"/>
      </w:pPr>
      <w:r>
        <w:t xml:space="preserve">CCO, CRO, CISO at KSA FIs</w:t>
      </w:r>
    </w:p>
    <w:p>
      <w:pPr>
        <w:pStyle w:val="Heading2"/>
      </w:pPr>
      <w:bookmarkStart w:id="11" w:name="_channels"/>
      <w:r>
        <w:t xml:space="preserve">Channels</w:t>
      </w:r>
    </w:p>
    <w:p>
      <w:pPr>
        <w:pStyle w:val="Compact"/>
        <w:numPr>
          <w:ilvl w:val="0"/>
          <w:numId w:val="1002"/>
        </w:numPr>
      </w:pPr>
      <w:r>
        <w:t xml:space="preserve">LinkedIn (ABM)</w:t>
      </w:r>
    </w:p>
    <w:p>
      <w:pPr>
        <w:pStyle w:val="Compact"/>
        <w:numPr>
          <w:ilvl w:val="0"/>
          <w:numId w:val="1002"/>
        </w:numPr>
      </w:pPr>
      <w:r>
        <w:t xml:space="preserve">Events (SAMA, Fintech Saudi)</w:t>
      </w:r>
    </w:p>
    <w:p>
      <w:pPr>
        <w:pStyle w:val="Compact"/>
        <w:numPr>
          <w:ilvl w:val="0"/>
          <w:numId w:val="1002"/>
        </w:numPr>
      </w:pPr>
      <w:r>
        <w:t xml:space="preserve">Content (whitepapers)</w:t>
      </w:r>
    </w:p>
    <w:p>
      <w:pPr>
        <w:pStyle w:val="Compact"/>
        <w:numPr>
          <w:ilvl w:val="0"/>
          <w:numId w:val="1002"/>
        </w:numPr>
      </w:pPr>
      <w:r>
        <w:t xml:space="preserve">Webinars</w:t>
      </w:r>
    </w:p>
    <w:p>
      <w:pPr>
        <w:pStyle w:val="Compact"/>
        <w:numPr>
          <w:ilvl w:val="0"/>
          <w:numId w:val="1002"/>
        </w:numPr>
      </w:pPr>
      <w:r>
        <w:t xml:space="preserve">PR</w:t>
      </w:r>
    </w:p>
    <w:p>
      <w:pPr>
        <w:pStyle w:val="Heading2"/>
      </w:pPr>
      <w:bookmarkStart w:id="12" w:name="_budget"/>
      <w:r>
        <w:t xml:space="preserve">Budget</w:t>
      </w:r>
    </w:p>
    <w:p>
      <w:pPr>
        <w:pStyle w:val="FirstParagraph"/>
      </w:pPr>
      <w:r>
        <w:t xml:space="preserve">SAR 500K/year</w:t>
      </w:r>
    </w:p>
    <w:p>
      <w:pPr>
        <w:pStyle w:val="Heading2"/>
      </w:pPr>
      <w:bookmarkStart w:id="13" w:name="_kpis"/>
      <w:r>
        <w:t xml:space="preserve">KPIs</w:t>
      </w:r>
    </w:p>
    <w:p>
      <w:pPr>
        <w:pStyle w:val="FirstParagraph"/>
      </w:pPr>
      <w:r>
        <w:t xml:space="preserve">MQLs, SQLs, pipeline, CAC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