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PRICING STRATEGY</w:t>
      </w:r>
    </w:p>
    <w:p>
      <w:pPr>
        <w:pStyle w:val="Heading2"/>
      </w:pPr>
      <w:bookmarkStart w:id="9" w:name="_tiers"/>
      <w:r>
        <w:t xml:space="preserve">Tiers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ACV (SAR)</w:t>
            </w:r>
          </w:p>
        </w:tc>
        <w:tc>
          <w:tcPr/>
          <w:p>
            <w:pPr>
              <w:pStyle w:val="Compact"/>
            </w:pPr>
            <w: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Essential</w:t>
            </w:r>
          </w:p>
        </w:tc>
        <w:tc>
          <w:tcPr/>
          <w:p>
            <w:pPr>
              <w:pStyle w:val="Compact"/>
            </w:pPr>
            <w:r>
              <w:t xml:space="preserve">500K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100K/mo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Professional</w:t>
            </w:r>
          </w:p>
        </w:tc>
        <w:tc>
          <w:tcPr/>
          <w:p>
            <w:pPr>
              <w:pStyle w:val="Compact"/>
            </w:pPr>
            <w:r>
              <w:t xml:space="preserve">1.5M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500K/mo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</w:t>
            </w:r>
          </w:p>
        </w:tc>
        <w:tc>
          <w:tcPr/>
          <w:p>
            <w:pPr>
              <w:pStyle w:val="Compact"/>
            </w:pPr>
            <w:r>
              <w:t xml:space="preserve">3M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Unlimited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</w:t>
            </w:r>
          </w:p>
        </w:tc>
        <w:tc>
          <w:tcPr/>
          <w:p>
            <w:pPr>
              <w:pStyle w:val="Compact"/>
            </w:pPr>
            <w:r>
              <w:t xml:space="preserve">5M+</w:t>
            </w:r>
          </w:p>
        </w:tc>
        <w:tc>
          <w:tcPr/>
          <w:p>
            <w:pPr>
              <w:pStyle w:val="Compact"/>
            </w:pPr>
            <w:r>
              <w:t xml:space="preserve">Unlimited</w:t>
            </w:r>
          </w:p>
        </w:tc>
        <w:tc>
          <w:tcPr/>
          <w:p>
            <w:pPr>
              <w:pStyle w:val="Compact"/>
            </w:pPr>
            <w:r>
              <w:t xml:space="preserve">Unlimited</w:t>
            </w:r>
          </w:p>
        </w:tc>
      </w:tr>
    </w:tbl>
    <w:p>
      <w:pPr>
        <w:pStyle w:val="Heading2"/>
      </w:pPr>
      <w:bookmarkStart w:id="10" w:name="_8de4103e29b880d9e1a916b68814a1e53192ee6"/>
      <w:r>
        <w:t xml:space="preserve">Add-ons</w:t>
      </w:r>
    </w:p>
    <w:p>
      <w:pPr>
        <w:pStyle w:val="Compact"/>
        <w:numPr>
          <w:ilvl w:val="0"/>
          <w:numId w:val="1001"/>
        </w:numPr>
      </w:pPr>
      <w:r>
        <w:t xml:space="preserve">PEP module: +200K</w:t>
      </w:r>
    </w:p>
    <w:p>
      <w:pPr>
        <w:pStyle w:val="Compact"/>
        <w:numPr>
          <w:ilvl w:val="0"/>
          <w:numId w:val="1001"/>
        </w:numPr>
      </w:pPr>
      <w:r>
        <w:t xml:space="preserve">Entity Resolution: +300K</w:t>
      </w:r>
    </w:p>
    <w:p>
      <w:pPr>
        <w:pStyle w:val="Compact"/>
        <w:numPr>
          <w:ilvl w:val="0"/>
          <w:numId w:val="1001"/>
        </w:numPr>
      </w:pPr>
      <w:r>
        <w:t xml:space="preserve">Financial GPS: +250K</w:t>
      </w:r>
    </w:p>
    <w:p>
      <w:pPr>
        <w:pStyle w:val="Compact"/>
        <w:numPr>
          <w:ilvl w:val="0"/>
          <w:numId w:val="1001"/>
        </w:numPr>
      </w:pPr>
      <w:r>
        <w:t xml:space="preserve">Advisor: +200K</w:t>
      </w:r>
    </w:p>
    <w:p>
      <w:pPr>
        <w:pStyle w:val="Heading2"/>
      </w:pPr>
      <w:bookmarkStart w:id="11" w:name="_discounts"/>
      <w:r>
        <w:t xml:space="preserve">Discounts</w:t>
      </w:r>
    </w:p>
    <w:p>
      <w:pPr>
        <w:pStyle w:val="Compact"/>
        <w:numPr>
          <w:ilvl w:val="0"/>
          <w:numId w:val="1002"/>
        </w:numPr>
      </w:pPr>
      <w:r>
        <w:t xml:space="preserve">3-year prepay: 15%</w:t>
      </w:r>
    </w:p>
    <w:p>
      <w:pPr>
        <w:pStyle w:val="Compact"/>
        <w:numPr>
          <w:ilvl w:val="0"/>
          <w:numId w:val="1002"/>
        </w:numPr>
      </w:pPr>
      <w:r>
        <w:t xml:space="preserve">Multi-year: 10%</w:t>
      </w:r>
    </w:p>
    <w:p>
      <w:pPr>
        <w:pStyle w:val="Compact"/>
        <w:numPr>
          <w:ilvl w:val="0"/>
          <w:numId w:val="1002"/>
        </w:numPr>
      </w:pPr>
      <w:r>
        <w:t xml:space="preserve">Early adopter: 20% (first 3 customers)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Sales &amp; Marketing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Pricing Strategy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